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4007" w14:textId="7A401D14" w:rsidR="00F84CA6" w:rsidRDefault="00F84CA6" w:rsidP="0094528E">
      <w:r>
        <w:t>Date:</w:t>
      </w:r>
      <w:r w:rsidR="0002243B">
        <w:t xml:space="preserve"> 12 October 2020</w:t>
      </w:r>
    </w:p>
    <w:p w14:paraId="00CE82FD" w14:textId="08A8718B" w:rsidR="00907B0B" w:rsidRDefault="00907B0B" w:rsidP="0094528E">
      <w:r>
        <w:t>To: Office of the High Commissioner for Human Rights,</w:t>
      </w:r>
      <w:r w:rsidR="00F62F3C">
        <w:t xml:space="preserve"> </w:t>
      </w:r>
      <w:r>
        <w:t>United Nations, Geneva</w:t>
      </w:r>
    </w:p>
    <w:p w14:paraId="41189CEA" w14:textId="6848986B" w:rsidR="0002243B" w:rsidRDefault="0002243B" w:rsidP="0094528E"/>
    <w:p w14:paraId="440C31CA" w14:textId="0EB98A10" w:rsidR="0002243B" w:rsidRPr="0002243B" w:rsidRDefault="0002243B" w:rsidP="0094528E">
      <w:pPr>
        <w:rPr>
          <w:sz w:val="40"/>
          <w:szCs w:val="40"/>
        </w:rPr>
      </w:pPr>
      <w:r w:rsidRPr="0002243B">
        <w:rPr>
          <w:sz w:val="40"/>
          <w:szCs w:val="40"/>
        </w:rPr>
        <w:t>Universal periodic review of Singapore, 3rd cycle, 2021</w:t>
      </w:r>
    </w:p>
    <w:p w14:paraId="7EF234EA" w14:textId="665BE2A1" w:rsidR="0002243B" w:rsidRPr="0002243B" w:rsidRDefault="0002243B" w:rsidP="0094528E">
      <w:pPr>
        <w:rPr>
          <w:sz w:val="28"/>
          <w:szCs w:val="28"/>
        </w:rPr>
      </w:pPr>
      <w:r w:rsidRPr="0002243B">
        <w:rPr>
          <w:sz w:val="28"/>
          <w:szCs w:val="28"/>
        </w:rPr>
        <w:t>Civil society stakeholder submission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2243B" w14:paraId="57744AC3" w14:textId="77777777" w:rsidTr="0002243B">
        <w:tc>
          <w:tcPr>
            <w:tcW w:w="9060" w:type="dxa"/>
          </w:tcPr>
          <w:p w14:paraId="54C6533E" w14:textId="77777777" w:rsidR="0002243B" w:rsidRDefault="0002243B" w:rsidP="0094528E">
            <w:pPr>
              <w:rPr>
                <w:sz w:val="34"/>
                <w:szCs w:val="34"/>
              </w:rPr>
            </w:pPr>
          </w:p>
        </w:tc>
      </w:tr>
    </w:tbl>
    <w:p w14:paraId="203D9882" w14:textId="0A34CD8D" w:rsidR="0002243B" w:rsidRDefault="0002243B" w:rsidP="0094528E">
      <w:pPr>
        <w:rPr>
          <w:sz w:val="34"/>
          <w:szCs w:val="34"/>
        </w:rPr>
      </w:pPr>
    </w:p>
    <w:p w14:paraId="4F573826" w14:textId="77777777" w:rsidR="009505D2" w:rsidRDefault="009505D2" w:rsidP="009505D2">
      <w:pPr>
        <w:spacing w:before="40" w:after="40" w:line="240" w:lineRule="auto"/>
        <w:rPr>
          <w:sz w:val="34"/>
          <w:szCs w:val="34"/>
        </w:rPr>
      </w:pPr>
    </w:p>
    <w:p w14:paraId="24224FE5" w14:textId="393C09F8" w:rsidR="0059559B" w:rsidRPr="003D7FAA" w:rsidRDefault="0059559B" w:rsidP="009505D2">
      <w:pPr>
        <w:spacing w:before="40" w:after="40" w:line="240" w:lineRule="auto"/>
        <w:rPr>
          <w:color w:val="FF0000"/>
          <w:sz w:val="34"/>
          <w:szCs w:val="34"/>
        </w:rPr>
      </w:pPr>
      <w:r w:rsidRPr="003D7FAA">
        <w:rPr>
          <w:color w:val="FF0000"/>
          <w:sz w:val="34"/>
          <w:szCs w:val="34"/>
        </w:rPr>
        <w:t>COVER PAGE – IDENTIFICATION</w:t>
      </w:r>
    </w:p>
    <w:p w14:paraId="2C065D96" w14:textId="77777777" w:rsidR="009505D2" w:rsidRPr="009505D2" w:rsidRDefault="009505D2" w:rsidP="009505D2">
      <w:pPr>
        <w:spacing w:before="40" w:after="40" w:line="240" w:lineRule="auto"/>
      </w:pPr>
    </w:p>
    <w:p w14:paraId="101CEB8E" w14:textId="30D40556" w:rsidR="0059559B" w:rsidRDefault="0059559B" w:rsidP="009505D2">
      <w:pPr>
        <w:spacing w:before="40" w:after="40" w:line="240" w:lineRule="auto"/>
      </w:pPr>
      <w:r>
        <w:t>This submission is for the universal periodic review of Singapore in the third cycle (38th session), 2021.</w:t>
      </w:r>
      <w:r w:rsidR="0002243B">
        <w:t xml:space="preserve"> </w:t>
      </w:r>
      <w:r>
        <w:t>It is a joint submission by two organisations active in the field of migrant worker rights, namely:</w:t>
      </w:r>
    </w:p>
    <w:p w14:paraId="7E74E397" w14:textId="77777777" w:rsidR="0002243B" w:rsidRDefault="0002243B" w:rsidP="00945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954"/>
      </w:tblGrid>
      <w:tr w:rsidR="00907B0B" w14:paraId="73770A9E" w14:textId="77777777" w:rsidTr="0002243B">
        <w:trPr>
          <w:trHeight w:val="1578"/>
        </w:trPr>
        <w:tc>
          <w:tcPr>
            <w:tcW w:w="2835" w:type="dxa"/>
          </w:tcPr>
          <w:p w14:paraId="2A117D55" w14:textId="57CF66D1" w:rsidR="00907B0B" w:rsidRDefault="00C257FE" w:rsidP="0094528E">
            <w:pPr>
              <w:ind w:left="-113"/>
              <w:jc w:val="center"/>
            </w:pPr>
            <w:r w:rsidRPr="00C257FE">
              <w:rPr>
                <w:noProof/>
                <w:lang w:val="en-US" w:bidi="ta-IN"/>
              </w:rPr>
              <w:drawing>
                <wp:inline distT="0" distB="0" distL="0" distR="0" wp14:anchorId="34B18AE2" wp14:editId="72CB8FB6">
                  <wp:extent cx="1828800" cy="781200"/>
                  <wp:effectExtent l="0" t="0" r="0" b="0"/>
                  <wp:docPr id="1" name="Picture 1" descr="C:\Users\Admin\Downloads\HO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M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81200"/>
                          </a:xfrm>
                          <a:prstGeom prst="rect">
                            <a:avLst/>
                          </a:prstGeom>
                          <a:noFill/>
                          <a:ln>
                            <a:noFill/>
                          </a:ln>
                        </pic:spPr>
                      </pic:pic>
                    </a:graphicData>
                  </a:graphic>
                </wp:inline>
              </w:drawing>
            </w:r>
          </w:p>
        </w:tc>
        <w:tc>
          <w:tcPr>
            <w:tcW w:w="5954" w:type="dxa"/>
            <w:tcMar>
              <w:left w:w="227" w:type="dxa"/>
            </w:tcMar>
          </w:tcPr>
          <w:p w14:paraId="695DB0FC" w14:textId="77777777" w:rsidR="00907B0B" w:rsidRDefault="00907B0B" w:rsidP="0094528E">
            <w:r>
              <w:t>Humanitarian Organisation for Migration Economics (HOME)</w:t>
            </w:r>
          </w:p>
          <w:p w14:paraId="4A5BAE6E" w14:textId="47DE5958" w:rsidR="00907B0B" w:rsidRDefault="00AB3D1E" w:rsidP="0094528E">
            <w:r w:rsidRPr="00AB3D1E">
              <w:t xml:space="preserve">495 </w:t>
            </w:r>
            <w:proofErr w:type="spellStart"/>
            <w:r w:rsidRPr="00AB3D1E">
              <w:t>Geylang</w:t>
            </w:r>
            <w:proofErr w:type="spellEnd"/>
            <w:r w:rsidRPr="00AB3D1E">
              <w:t xml:space="preserve"> Road #02-01</w:t>
            </w:r>
            <w:r w:rsidR="008278DF">
              <w:t>,</w:t>
            </w:r>
            <w:r w:rsidRPr="00AB3D1E">
              <w:t xml:space="preserve"> Singapore 389453</w:t>
            </w:r>
          </w:p>
          <w:p w14:paraId="3A3F879B" w14:textId="6D711162" w:rsidR="00907B0B" w:rsidRDefault="0002243B" w:rsidP="0094528E">
            <w:r>
              <w:t xml:space="preserve">Phone: +65 </w:t>
            </w:r>
            <w:r w:rsidR="00AB3D1E" w:rsidRPr="00AB3D1E">
              <w:t>6741</w:t>
            </w:r>
            <w:r>
              <w:t xml:space="preserve"> </w:t>
            </w:r>
            <w:r w:rsidR="00AB3D1E" w:rsidRPr="00AB3D1E">
              <w:t>1726</w:t>
            </w:r>
          </w:p>
          <w:p w14:paraId="32421063" w14:textId="5743281E" w:rsidR="00907B0B" w:rsidRDefault="0002243B" w:rsidP="0094528E">
            <w:r>
              <w:t xml:space="preserve">Email: </w:t>
            </w:r>
            <w:r w:rsidR="00AB3D1E">
              <w:t>contact@home.org.sg</w:t>
            </w:r>
          </w:p>
          <w:p w14:paraId="7C01FDEB" w14:textId="4C6188AE" w:rsidR="00907B0B" w:rsidRDefault="00907B0B" w:rsidP="0094528E">
            <w:r>
              <w:t xml:space="preserve">Website: </w:t>
            </w:r>
            <w:hyperlink r:id="rId9" w:history="1">
              <w:r w:rsidRPr="00AB18C6">
                <w:rPr>
                  <w:rStyle w:val="Hyperlink"/>
                </w:rPr>
                <w:t>www.home.org.sg</w:t>
              </w:r>
            </w:hyperlink>
          </w:p>
        </w:tc>
      </w:tr>
    </w:tbl>
    <w:p w14:paraId="0F0992A0" w14:textId="77777777" w:rsidR="00907B0B" w:rsidRDefault="00907B0B" w:rsidP="0094528E"/>
    <w:p w14:paraId="79705650" w14:textId="3B5FA537" w:rsidR="0059559B" w:rsidRDefault="0059559B" w:rsidP="0094528E">
      <w: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954"/>
      </w:tblGrid>
      <w:tr w:rsidR="00907B0B" w14:paraId="326E4B82" w14:textId="77777777" w:rsidTr="0002243B">
        <w:tc>
          <w:tcPr>
            <w:tcW w:w="2835" w:type="dxa"/>
          </w:tcPr>
          <w:p w14:paraId="693CF50B" w14:textId="0B4EB587" w:rsidR="00907B0B" w:rsidRDefault="0002243B" w:rsidP="0094528E">
            <w:r>
              <w:rPr>
                <w:noProof/>
              </w:rPr>
              <w:drawing>
                <wp:inline distT="0" distB="0" distL="0" distR="0" wp14:anchorId="6596AB65" wp14:editId="162FBF48">
                  <wp:extent cx="1663200" cy="115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915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200" cy="1152000"/>
                          </a:xfrm>
                          <a:prstGeom prst="rect">
                            <a:avLst/>
                          </a:prstGeom>
                        </pic:spPr>
                      </pic:pic>
                    </a:graphicData>
                  </a:graphic>
                </wp:inline>
              </w:drawing>
            </w:r>
          </w:p>
        </w:tc>
        <w:tc>
          <w:tcPr>
            <w:tcW w:w="5954" w:type="dxa"/>
            <w:tcMar>
              <w:left w:w="227" w:type="dxa"/>
            </w:tcMar>
            <w:vAlign w:val="bottom"/>
          </w:tcPr>
          <w:p w14:paraId="007A2E4E" w14:textId="77777777" w:rsidR="00907B0B" w:rsidRDefault="00907B0B" w:rsidP="0094528E">
            <w:r>
              <w:t>Transient Workers Count Too (TWC2)</w:t>
            </w:r>
          </w:p>
          <w:p w14:paraId="6A4F2636" w14:textId="77777777" w:rsidR="00907B0B" w:rsidRDefault="00907B0B" w:rsidP="0094528E">
            <w:r>
              <w:t>5001 Beach Road #09-86, Golden Mile Complex</w:t>
            </w:r>
          </w:p>
          <w:p w14:paraId="7979CCD4" w14:textId="77777777" w:rsidR="00907B0B" w:rsidRDefault="00907B0B" w:rsidP="0094528E">
            <w:r>
              <w:t>Singapore 199588</w:t>
            </w:r>
          </w:p>
          <w:p w14:paraId="50B3E198" w14:textId="77777777" w:rsidR="00907B0B" w:rsidRDefault="00907B0B" w:rsidP="0094528E">
            <w:r>
              <w:t>Phone: +65 6247 7001</w:t>
            </w:r>
          </w:p>
          <w:p w14:paraId="1FE2525F" w14:textId="77777777" w:rsidR="00907B0B" w:rsidRDefault="00907B0B" w:rsidP="0094528E">
            <w:r>
              <w:t xml:space="preserve">Email: </w:t>
            </w:r>
            <w:hyperlink r:id="rId11" w:history="1">
              <w:r w:rsidRPr="00AB18C6">
                <w:rPr>
                  <w:rStyle w:val="Hyperlink"/>
                </w:rPr>
                <w:t>info@twc2.org.sg</w:t>
              </w:r>
            </w:hyperlink>
          </w:p>
          <w:p w14:paraId="2D47B16C" w14:textId="40C9F3D0" w:rsidR="00907B0B" w:rsidRDefault="00907B0B" w:rsidP="0094528E">
            <w:r>
              <w:t xml:space="preserve">Website: </w:t>
            </w:r>
            <w:hyperlink r:id="rId12" w:history="1">
              <w:r w:rsidRPr="00AB18C6">
                <w:rPr>
                  <w:rStyle w:val="Hyperlink"/>
                </w:rPr>
                <w:t>www.twc2.org.sg</w:t>
              </w:r>
            </w:hyperlink>
          </w:p>
        </w:tc>
      </w:tr>
    </w:tbl>
    <w:p w14:paraId="5F520955" w14:textId="77777777" w:rsidR="00907B0B" w:rsidRDefault="00907B0B" w:rsidP="0094528E"/>
    <w:p w14:paraId="4611D824" w14:textId="359DB99E" w:rsidR="0059559B" w:rsidRDefault="0059559B" w:rsidP="0094528E"/>
    <w:p w14:paraId="213C9970" w14:textId="77777777" w:rsidR="009505D2" w:rsidRDefault="009505D2" w:rsidP="009505D2">
      <w:pPr>
        <w:spacing w:before="40" w:after="40" w:line="240" w:lineRule="auto"/>
        <w:rPr>
          <w:sz w:val="34"/>
          <w:szCs w:val="34"/>
        </w:rPr>
      </w:pPr>
    </w:p>
    <w:p w14:paraId="53DF513A" w14:textId="77777777" w:rsidR="009505D2" w:rsidRDefault="009505D2" w:rsidP="009505D2">
      <w:pPr>
        <w:spacing w:before="40" w:after="40" w:line="240" w:lineRule="auto"/>
        <w:rPr>
          <w:sz w:val="34"/>
          <w:szCs w:val="34"/>
        </w:rPr>
      </w:pPr>
    </w:p>
    <w:p w14:paraId="7EE6A262" w14:textId="381656B7" w:rsidR="0059559B" w:rsidRPr="003D7FAA" w:rsidRDefault="0059559B" w:rsidP="009505D2">
      <w:pPr>
        <w:spacing w:before="40" w:after="40" w:line="240" w:lineRule="auto"/>
        <w:rPr>
          <w:color w:val="FF0000"/>
          <w:sz w:val="34"/>
          <w:szCs w:val="34"/>
        </w:rPr>
      </w:pPr>
      <w:r w:rsidRPr="003D7FAA">
        <w:rPr>
          <w:color w:val="FF0000"/>
          <w:sz w:val="34"/>
          <w:szCs w:val="34"/>
        </w:rPr>
        <w:t xml:space="preserve">COVER PAGE – </w:t>
      </w:r>
      <w:r w:rsidR="003D7FAA" w:rsidRPr="003D7FAA">
        <w:rPr>
          <w:color w:val="FF0000"/>
          <w:sz w:val="34"/>
          <w:szCs w:val="34"/>
        </w:rPr>
        <w:t>PROFILE</w:t>
      </w:r>
      <w:r w:rsidR="008278DF">
        <w:rPr>
          <w:color w:val="FF0000"/>
          <w:sz w:val="34"/>
          <w:szCs w:val="34"/>
        </w:rPr>
        <w:t>S</w:t>
      </w:r>
      <w:r w:rsidRPr="003D7FAA">
        <w:rPr>
          <w:color w:val="FF0000"/>
          <w:sz w:val="34"/>
          <w:szCs w:val="34"/>
        </w:rPr>
        <w:t xml:space="preserve"> OF SU</w:t>
      </w:r>
      <w:r w:rsidR="00D71D32" w:rsidRPr="003D7FAA">
        <w:rPr>
          <w:color w:val="FF0000"/>
          <w:sz w:val="34"/>
          <w:szCs w:val="34"/>
        </w:rPr>
        <w:t>B</w:t>
      </w:r>
      <w:r w:rsidRPr="003D7FAA">
        <w:rPr>
          <w:color w:val="FF0000"/>
          <w:sz w:val="34"/>
          <w:szCs w:val="34"/>
        </w:rPr>
        <w:t>MITTING STAKEHOLDERS</w:t>
      </w:r>
    </w:p>
    <w:p w14:paraId="75D4F564" w14:textId="77777777" w:rsidR="009505D2" w:rsidRPr="009505D2" w:rsidRDefault="009505D2" w:rsidP="009505D2">
      <w:pPr>
        <w:spacing w:before="40" w:after="40" w:line="240" w:lineRule="auto"/>
      </w:pPr>
    </w:p>
    <w:p w14:paraId="6F6CD66C" w14:textId="2DC4E6BF" w:rsidR="0059559B" w:rsidRDefault="0059559B" w:rsidP="009505D2">
      <w:pPr>
        <w:spacing w:before="40" w:after="40" w:line="240" w:lineRule="auto"/>
      </w:pPr>
      <w:r w:rsidRPr="00D71D32">
        <w:rPr>
          <w:b/>
          <w:bCs/>
        </w:rPr>
        <w:t>The Humanitarian Organisation for Migration Economics (HOME)</w:t>
      </w:r>
      <w:r>
        <w:t xml:space="preserve"> was established in 2004 and runs programmes to uphold the rights of migrant workers in Singapore. It assists an average of 2,000 workers a year in crisis situations, including employment-related disputes. The organi</w:t>
      </w:r>
      <w:r w:rsidR="00D71D32">
        <w:t>s</w:t>
      </w:r>
      <w:r>
        <w:t xml:space="preserve">ation works </w:t>
      </w:r>
      <w:r>
        <w:lastRenderedPageBreak/>
        <w:t xml:space="preserve">with the Singapore government, in particular the Ministry of Manpower (MOM), to resolve these disputes. It offers shelter, employment advice, social support, financial </w:t>
      </w:r>
      <w:proofErr w:type="gramStart"/>
      <w:r>
        <w:t>assistance</w:t>
      </w:r>
      <w:proofErr w:type="gramEnd"/>
      <w:r>
        <w:t xml:space="preserve"> and legal aid for workers without charge.</w:t>
      </w:r>
    </w:p>
    <w:p w14:paraId="17829604" w14:textId="77777777" w:rsidR="009505D2" w:rsidRDefault="009505D2" w:rsidP="009505D2">
      <w:pPr>
        <w:spacing w:before="40" w:after="40" w:line="240" w:lineRule="auto"/>
      </w:pPr>
    </w:p>
    <w:p w14:paraId="33B7CA88" w14:textId="7BB923A4" w:rsidR="0059559B" w:rsidRDefault="0059559B" w:rsidP="009505D2">
      <w:pPr>
        <w:spacing w:before="40" w:after="40" w:line="240" w:lineRule="auto"/>
      </w:pPr>
      <w:r w:rsidRPr="00D71D32">
        <w:rPr>
          <w:b/>
          <w:bCs/>
        </w:rPr>
        <w:t>Transient Workers Count Too (TWC2)</w:t>
      </w:r>
      <w:r>
        <w:t xml:space="preserve"> is a non-profit organisation registered in 2004 with a twofold mission: to assist migrant workers in difficulty and to advocate for better policies. </w:t>
      </w:r>
      <w:r w:rsidR="00D71D32">
        <w:t>TWC2 helps</w:t>
      </w:r>
      <w:r>
        <w:t xml:space="preserve"> over 2,000 cases a year navigate available legal and administrative systems, and through </w:t>
      </w:r>
      <w:r w:rsidR="00D71D32">
        <w:t xml:space="preserve">TWC2’s own </w:t>
      </w:r>
      <w:r>
        <w:t xml:space="preserve">programmes including: free meals, financial and case support for </w:t>
      </w:r>
      <w:r w:rsidR="00F84CA6">
        <w:t xml:space="preserve">medical care, </w:t>
      </w:r>
      <w:r>
        <w:t xml:space="preserve">housing, transport, phones, </w:t>
      </w:r>
      <w:r w:rsidR="00F84CA6">
        <w:t>and litigation. TWC2’s advocacy arm includes research, case documentation and intensive public communication to both the general and migrant communities.</w:t>
      </w:r>
    </w:p>
    <w:p w14:paraId="705CFEBC" w14:textId="77777777" w:rsidR="0059559B" w:rsidRDefault="0059559B" w:rsidP="009505D2">
      <w:pPr>
        <w:spacing w:before="40" w:after="40" w:line="240" w:lineRule="auto"/>
      </w:pPr>
    </w:p>
    <w:p w14:paraId="749167DF" w14:textId="77777777" w:rsidR="00F62F3C" w:rsidRDefault="00F62F3C" w:rsidP="0094528E">
      <w:pPr>
        <w:rPr>
          <w:sz w:val="36"/>
          <w:szCs w:val="36"/>
        </w:rPr>
        <w:sectPr w:rsidR="00F62F3C" w:rsidSect="00F62F3C">
          <w:footerReference w:type="default" r:id="rId13"/>
          <w:endnotePr>
            <w:numFmt w:val="decimal"/>
          </w:endnotePr>
          <w:pgSz w:w="11906" w:h="16838" w:code="9"/>
          <w:pgMar w:top="1418" w:right="1418" w:bottom="1418" w:left="1418" w:header="709" w:footer="709" w:gutter="0"/>
          <w:cols w:space="708"/>
          <w:docGrid w:linePitch="360"/>
        </w:sectPr>
      </w:pPr>
    </w:p>
    <w:p w14:paraId="6C368E68" w14:textId="1F17F151" w:rsidR="0059559B" w:rsidRPr="003D7FAA" w:rsidRDefault="00F84CA6" w:rsidP="009505D2">
      <w:pPr>
        <w:spacing w:before="40" w:after="40" w:line="240" w:lineRule="auto"/>
        <w:rPr>
          <w:color w:val="FF0000"/>
          <w:sz w:val="34"/>
          <w:szCs w:val="34"/>
        </w:rPr>
      </w:pPr>
      <w:r w:rsidRPr="003D7FAA">
        <w:rPr>
          <w:color w:val="FF0000"/>
          <w:sz w:val="34"/>
          <w:szCs w:val="34"/>
        </w:rPr>
        <w:lastRenderedPageBreak/>
        <w:t>MAIN SUBMISSION</w:t>
      </w:r>
    </w:p>
    <w:p w14:paraId="7C9E4BFD" w14:textId="77777777" w:rsidR="009505D2" w:rsidRDefault="009505D2" w:rsidP="009505D2">
      <w:pPr>
        <w:spacing w:before="40" w:after="40" w:line="240" w:lineRule="auto"/>
      </w:pPr>
    </w:p>
    <w:p w14:paraId="02CBACF0" w14:textId="5FD61388" w:rsidR="00DC4AED" w:rsidRDefault="0042007D" w:rsidP="009505D2">
      <w:pPr>
        <w:spacing w:before="40" w:after="40" w:line="240" w:lineRule="auto"/>
      </w:pPr>
      <w:r>
        <w:t>This report comes in three sections.</w:t>
      </w:r>
    </w:p>
    <w:p w14:paraId="32B83487" w14:textId="77777777" w:rsidR="009505D2" w:rsidRDefault="009505D2" w:rsidP="009505D2">
      <w:pPr>
        <w:spacing w:before="40" w:after="40" w:line="240" w:lineRule="auto"/>
      </w:pPr>
    </w:p>
    <w:p w14:paraId="7E10598C" w14:textId="5D19F7BE" w:rsidR="0042007D" w:rsidRDefault="00C6652D" w:rsidP="009505D2">
      <w:pPr>
        <w:spacing w:before="40" w:after="40" w:line="240" w:lineRule="auto"/>
      </w:pPr>
      <w:r w:rsidRPr="009505D2">
        <w:rPr>
          <w:b/>
          <w:bCs/>
        </w:rPr>
        <w:t>Section</w:t>
      </w:r>
      <w:r w:rsidR="00CA7ECF" w:rsidRPr="009505D2">
        <w:rPr>
          <w:b/>
          <w:bCs/>
        </w:rPr>
        <w:t xml:space="preserve"> 1</w:t>
      </w:r>
      <w:r>
        <w:t xml:space="preserve"> spotlights the outcome recommendations from the UPR of Singapore 2016 that are relevant to the work of </w:t>
      </w:r>
      <w:r w:rsidR="00CA7ECF">
        <w:t xml:space="preserve">the </w:t>
      </w:r>
      <w:r w:rsidR="00F84CA6">
        <w:t>submitting stakeholders</w:t>
      </w:r>
      <w:r w:rsidR="008278DF">
        <w:t xml:space="preserve"> </w:t>
      </w:r>
      <w:r w:rsidR="00F84CA6">
        <w:t xml:space="preserve">and </w:t>
      </w:r>
      <w:r>
        <w:t>assesses progress on implementation</w:t>
      </w:r>
      <w:r w:rsidR="00CA7ECF">
        <w:t xml:space="preserve">. </w:t>
      </w:r>
    </w:p>
    <w:p w14:paraId="7CCDE0A8" w14:textId="77777777" w:rsidR="009505D2" w:rsidRDefault="009505D2" w:rsidP="009505D2">
      <w:pPr>
        <w:spacing w:before="40" w:after="40" w:line="240" w:lineRule="auto"/>
      </w:pPr>
    </w:p>
    <w:p w14:paraId="6BB351E4" w14:textId="0130904F" w:rsidR="00C6652D" w:rsidRDefault="00C6652D" w:rsidP="009505D2">
      <w:pPr>
        <w:spacing w:before="40" w:after="40" w:line="240" w:lineRule="auto"/>
      </w:pPr>
      <w:r w:rsidRPr="009505D2">
        <w:rPr>
          <w:b/>
          <w:bCs/>
        </w:rPr>
        <w:t xml:space="preserve">Section </w:t>
      </w:r>
      <w:r w:rsidR="00CA7ECF" w:rsidRPr="009505D2">
        <w:rPr>
          <w:b/>
          <w:bCs/>
        </w:rPr>
        <w:t>2</w:t>
      </w:r>
      <w:r>
        <w:t xml:space="preserve"> discusses the major</w:t>
      </w:r>
      <w:r w:rsidR="00F84CA6">
        <w:t xml:space="preserve"> current</w:t>
      </w:r>
      <w:r>
        <w:t xml:space="preserve"> issues impacting the human rights of migrant workers in </w:t>
      </w:r>
      <w:r w:rsidR="00CA7ECF">
        <w:t xml:space="preserve">Singapore. </w:t>
      </w:r>
    </w:p>
    <w:p w14:paraId="3F1CE32B" w14:textId="77777777" w:rsidR="009505D2" w:rsidRDefault="009505D2" w:rsidP="009505D2">
      <w:pPr>
        <w:spacing w:before="40" w:after="40" w:line="240" w:lineRule="auto"/>
      </w:pPr>
    </w:p>
    <w:p w14:paraId="2C962C68" w14:textId="6B11849A" w:rsidR="00C6652D" w:rsidRDefault="00C6652D" w:rsidP="009505D2">
      <w:pPr>
        <w:spacing w:before="40" w:after="40" w:line="240" w:lineRule="auto"/>
      </w:pPr>
      <w:r w:rsidRPr="009505D2">
        <w:rPr>
          <w:b/>
          <w:bCs/>
        </w:rPr>
        <w:t xml:space="preserve">Section </w:t>
      </w:r>
      <w:r w:rsidR="00F84CA6" w:rsidRPr="009505D2">
        <w:rPr>
          <w:b/>
          <w:bCs/>
        </w:rPr>
        <w:t>3</w:t>
      </w:r>
      <w:r>
        <w:t xml:space="preserve"> contains suggestions </w:t>
      </w:r>
      <w:r w:rsidR="006639BE">
        <w:t>f</w:t>
      </w:r>
      <w:r>
        <w:t>or further recommendations in this cycle</w:t>
      </w:r>
      <w:r w:rsidR="00D71D32">
        <w:t>.</w:t>
      </w:r>
    </w:p>
    <w:p w14:paraId="495C9A4D" w14:textId="00985D29" w:rsidR="003D7FAA" w:rsidRDefault="003D7FAA" w:rsidP="009505D2">
      <w:pPr>
        <w:spacing w:before="40" w:after="40" w:line="240" w:lineRule="auto"/>
      </w:pPr>
    </w:p>
    <w:p w14:paraId="0A23C18E" w14:textId="77777777" w:rsidR="009505D2" w:rsidRDefault="009505D2" w:rsidP="009505D2">
      <w:pPr>
        <w:spacing w:before="40" w:after="40" w:line="240" w:lineRule="auto"/>
      </w:pPr>
    </w:p>
    <w:p w14:paraId="5081E066" w14:textId="77777777" w:rsidR="00C6652D" w:rsidRDefault="00C6652D" w:rsidP="009505D2">
      <w:pPr>
        <w:spacing w:before="40" w:after="40" w:line="240" w:lineRule="auto"/>
      </w:pPr>
    </w:p>
    <w:p w14:paraId="50EDC432" w14:textId="7B841157" w:rsidR="00DC4AED" w:rsidRPr="00FE5C6F" w:rsidRDefault="00C6652D" w:rsidP="009505D2">
      <w:pPr>
        <w:spacing w:before="40" w:after="40" w:line="240" w:lineRule="auto"/>
        <w:rPr>
          <w:sz w:val="28"/>
          <w:szCs w:val="28"/>
        </w:rPr>
      </w:pPr>
      <w:r w:rsidRPr="00FE5C6F">
        <w:rPr>
          <w:sz w:val="28"/>
          <w:szCs w:val="28"/>
        </w:rPr>
        <w:t xml:space="preserve">SECTION </w:t>
      </w:r>
      <w:r w:rsidR="00CA7ECF" w:rsidRPr="00FE5C6F">
        <w:rPr>
          <w:sz w:val="28"/>
          <w:szCs w:val="28"/>
        </w:rPr>
        <w:t>1</w:t>
      </w:r>
      <w:r w:rsidR="00FE5C6F">
        <w:rPr>
          <w:sz w:val="28"/>
          <w:szCs w:val="28"/>
        </w:rPr>
        <w:t>: OVERALL ASSESSMENT</w:t>
      </w:r>
    </w:p>
    <w:p w14:paraId="5A44C5FC" w14:textId="77777777" w:rsidR="009505D2" w:rsidRDefault="009505D2" w:rsidP="009505D2">
      <w:pPr>
        <w:spacing w:before="40" w:after="40" w:line="240" w:lineRule="auto"/>
      </w:pPr>
    </w:p>
    <w:p w14:paraId="66C5091A" w14:textId="08C2647D" w:rsidR="00CA7ECF" w:rsidRDefault="00D42640" w:rsidP="009505D2">
      <w:pPr>
        <w:spacing w:before="40" w:after="40" w:line="240" w:lineRule="auto"/>
      </w:pPr>
      <w:r>
        <w:t>1.01</w:t>
      </w:r>
      <w:r>
        <w:tab/>
      </w:r>
      <w:r w:rsidR="00CA7ECF">
        <w:t xml:space="preserve">As listed in the matrix in Annex A, Singapore supported </w:t>
      </w:r>
      <w:proofErr w:type="gramStart"/>
      <w:r w:rsidR="00CA7ECF">
        <w:t>a number of</w:t>
      </w:r>
      <w:proofErr w:type="gramEnd"/>
      <w:r w:rsidR="00CA7ECF">
        <w:t xml:space="preserve"> recommendations in the </w:t>
      </w:r>
      <w:r w:rsidR="00D71D32">
        <w:t>se</w:t>
      </w:r>
      <w:r w:rsidR="00CA7ECF">
        <w:t xml:space="preserve">cond </w:t>
      </w:r>
      <w:r w:rsidR="00D71D32">
        <w:t>c</w:t>
      </w:r>
      <w:r w:rsidR="00CA7ECF">
        <w:t>ycle (2016) relating to migrant labour</w:t>
      </w:r>
      <w:r w:rsidR="00065574">
        <w:t xml:space="preserve"> (see </w:t>
      </w:r>
      <w:r w:rsidR="00F84CA6">
        <w:t xml:space="preserve">identifying reference numbers </w:t>
      </w:r>
      <w:r w:rsidR="00065574">
        <w:t>in Annex A).</w:t>
      </w:r>
      <w:r w:rsidR="00F84CA6">
        <w:t xml:space="preserve"> </w:t>
      </w:r>
      <w:r w:rsidR="00CA7ECF">
        <w:t>Overall, the recommendations call for a strengthening of legislation</w:t>
      </w:r>
      <w:r w:rsidR="00C53BFB">
        <w:t>, more effective</w:t>
      </w:r>
      <w:r w:rsidR="00CA7ECF">
        <w:t xml:space="preserve"> operational policie</w:t>
      </w:r>
      <w:r w:rsidR="00C53BFB">
        <w:t>s</w:t>
      </w:r>
      <w:r w:rsidR="00CA7ECF">
        <w:t xml:space="preserve"> and </w:t>
      </w:r>
      <w:r w:rsidR="00C53BFB">
        <w:t xml:space="preserve">stronger </w:t>
      </w:r>
      <w:r w:rsidR="00CA7ECF">
        <w:t>enforcement to protect the</w:t>
      </w:r>
      <w:r w:rsidR="00210B92">
        <w:t xml:space="preserve"> </w:t>
      </w:r>
      <w:r w:rsidR="00CA7ECF">
        <w:t xml:space="preserve">rights of migrant workers </w:t>
      </w:r>
      <w:proofErr w:type="gramStart"/>
      <w:r w:rsidR="00CA7ECF">
        <w:t>including:</w:t>
      </w:r>
      <w:proofErr w:type="gramEnd"/>
      <w:r w:rsidR="00CA7ECF">
        <w:t xml:space="preserve"> social and economic rights, protection against exploitation and discrimination, effective remedies, and access to healthcare.</w:t>
      </w:r>
    </w:p>
    <w:p w14:paraId="2424B0A2" w14:textId="77777777" w:rsidR="009505D2" w:rsidRDefault="009505D2" w:rsidP="009505D2">
      <w:pPr>
        <w:spacing w:before="40" w:after="40" w:line="240" w:lineRule="auto"/>
      </w:pPr>
    </w:p>
    <w:p w14:paraId="743D528B" w14:textId="2E99018E" w:rsidR="00210B92" w:rsidRDefault="00D42640" w:rsidP="009505D2">
      <w:pPr>
        <w:spacing w:before="40" w:after="40" w:line="240" w:lineRule="auto"/>
      </w:pPr>
      <w:r>
        <w:t>1.02</w:t>
      </w:r>
      <w:r>
        <w:tab/>
      </w:r>
      <w:r w:rsidR="00210B92">
        <w:t>In the period since the second cycle, there have been very few improvements in the situation of migrant workers. Most changes have been either to streamline bureaucratic processes which do not necessarily improve protections for migrant workers -- in the case of the digitisation of the salary claims processes</w:t>
      </w:r>
      <w:r w:rsidR="00D71D32">
        <w:t>,</w:t>
      </w:r>
      <w:r w:rsidR="00210B92">
        <w:t xml:space="preserve"> changes have probably made access </w:t>
      </w:r>
      <w:r w:rsidR="00D71D32">
        <w:t>harder</w:t>
      </w:r>
      <w:r w:rsidR="00210B92">
        <w:t xml:space="preserve"> for them</w:t>
      </w:r>
      <w:r w:rsidR="00D71D32">
        <w:t xml:space="preserve">. Mandatory insurance and compensation limits have been raised, but largely to </w:t>
      </w:r>
      <w:r w:rsidR="00210B92">
        <w:t>keep up with inflation</w:t>
      </w:r>
      <w:r w:rsidR="00D71D32">
        <w:t>.</w:t>
      </w:r>
      <w:r w:rsidR="00210B92">
        <w:t xml:space="preserve"> </w:t>
      </w:r>
    </w:p>
    <w:p w14:paraId="3EDD8219" w14:textId="77777777" w:rsidR="009505D2" w:rsidRDefault="009505D2" w:rsidP="009505D2">
      <w:pPr>
        <w:spacing w:before="40" w:after="40" w:line="240" w:lineRule="auto"/>
      </w:pPr>
    </w:p>
    <w:p w14:paraId="1CA9EF72" w14:textId="52D4C6EF" w:rsidR="00210B92" w:rsidRDefault="00D42640" w:rsidP="009505D2">
      <w:pPr>
        <w:spacing w:before="40" w:after="40" w:line="240" w:lineRule="auto"/>
      </w:pPr>
      <w:r>
        <w:t>1.03</w:t>
      </w:r>
      <w:r>
        <w:tab/>
      </w:r>
      <w:r w:rsidR="00210B92">
        <w:t>Our assessment is that none of the recommendations in our area of interest have been implemented to any substantial degree.</w:t>
      </w:r>
    </w:p>
    <w:p w14:paraId="47E08E19" w14:textId="77777777" w:rsidR="009505D2" w:rsidRDefault="009505D2" w:rsidP="009505D2">
      <w:pPr>
        <w:spacing w:before="40" w:after="40" w:line="240" w:lineRule="auto"/>
      </w:pPr>
    </w:p>
    <w:p w14:paraId="120FF606" w14:textId="0CB835AB" w:rsidR="00210B92" w:rsidRDefault="00D42640" w:rsidP="009505D2">
      <w:pPr>
        <w:spacing w:before="40" w:after="40" w:line="240" w:lineRule="auto"/>
      </w:pPr>
      <w:r>
        <w:t>1.04</w:t>
      </w:r>
      <w:r>
        <w:tab/>
      </w:r>
      <w:r w:rsidR="00210B92">
        <w:t xml:space="preserve">Covid-19 has brought about regression. Migrant workers’ salary entitlements during lockdown have been seriously </w:t>
      </w:r>
      <w:r w:rsidR="00A37BCD">
        <w:t>compromised</w:t>
      </w:r>
      <w:r w:rsidR="00210B92">
        <w:t xml:space="preserve"> by obfuscat</w:t>
      </w:r>
      <w:r w:rsidR="00F84CA6">
        <w:t>ing</w:t>
      </w:r>
      <w:r w:rsidR="00210B92">
        <w:t xml:space="preserve"> statements made by the government that appear to contradict workers’ legal rights, and their freedom of movement </w:t>
      </w:r>
      <w:r w:rsidR="00D71D32">
        <w:t>ha</w:t>
      </w:r>
      <w:r w:rsidR="00104139">
        <w:t xml:space="preserve">s </w:t>
      </w:r>
      <w:r w:rsidR="00D71D32">
        <w:t xml:space="preserve">been </w:t>
      </w:r>
      <w:r w:rsidR="00210B92">
        <w:t xml:space="preserve">highly constrained by new regulations. </w:t>
      </w:r>
    </w:p>
    <w:p w14:paraId="11EF99C5" w14:textId="77777777" w:rsidR="009505D2" w:rsidRDefault="009505D2" w:rsidP="009505D2">
      <w:pPr>
        <w:spacing w:before="40" w:after="40" w:line="240" w:lineRule="auto"/>
      </w:pPr>
    </w:p>
    <w:p w14:paraId="4EBE0380" w14:textId="001D901E" w:rsidR="00210B92" w:rsidRDefault="00D42640" w:rsidP="009505D2">
      <w:pPr>
        <w:spacing w:before="40" w:after="40" w:line="240" w:lineRule="auto"/>
      </w:pPr>
      <w:r>
        <w:t>1.05</w:t>
      </w:r>
      <w:r>
        <w:tab/>
      </w:r>
      <w:r w:rsidR="00210B92">
        <w:t xml:space="preserve">Our detailed assessment of implementation of each recommendation from the </w:t>
      </w:r>
      <w:r w:rsidR="00D71D32">
        <w:t>s</w:t>
      </w:r>
      <w:r w:rsidR="00210B92">
        <w:t xml:space="preserve">econd </w:t>
      </w:r>
      <w:r w:rsidR="00D71D32">
        <w:t>c</w:t>
      </w:r>
      <w:r w:rsidR="00210B92">
        <w:t xml:space="preserve">ycle UPR can be seen from the matrix in Annex A. </w:t>
      </w:r>
    </w:p>
    <w:p w14:paraId="4229F8AD" w14:textId="471F9C15" w:rsidR="0072209A" w:rsidRDefault="0072209A" w:rsidP="009505D2">
      <w:pPr>
        <w:spacing w:before="40" w:after="40" w:line="240" w:lineRule="auto"/>
        <w:rPr>
          <w:color w:val="000000"/>
          <w:lang w:eastAsia="en-GB"/>
        </w:rPr>
      </w:pPr>
    </w:p>
    <w:p w14:paraId="22B399C9" w14:textId="77777777" w:rsidR="00FE5C6F" w:rsidRDefault="00FE5C6F" w:rsidP="009505D2">
      <w:pPr>
        <w:spacing w:before="40" w:after="40" w:line="240" w:lineRule="auto"/>
        <w:rPr>
          <w:color w:val="000000"/>
          <w:lang w:eastAsia="en-GB"/>
        </w:rPr>
      </w:pPr>
    </w:p>
    <w:p w14:paraId="69CD012F" w14:textId="77777777" w:rsidR="003D7FAA" w:rsidRDefault="003D7FAA" w:rsidP="009505D2">
      <w:pPr>
        <w:spacing w:before="40" w:after="40" w:line="240" w:lineRule="auto"/>
        <w:rPr>
          <w:color w:val="000000"/>
          <w:sz w:val="28"/>
          <w:szCs w:val="28"/>
          <w:lang w:eastAsia="en-GB"/>
        </w:rPr>
      </w:pPr>
    </w:p>
    <w:p w14:paraId="13447988" w14:textId="77777777" w:rsidR="003D7FAA" w:rsidRDefault="003D7FAA" w:rsidP="009505D2">
      <w:pPr>
        <w:spacing w:before="40" w:after="40" w:line="240" w:lineRule="auto"/>
        <w:rPr>
          <w:color w:val="000000"/>
          <w:sz w:val="28"/>
          <w:szCs w:val="28"/>
          <w:lang w:eastAsia="en-GB"/>
        </w:rPr>
      </w:pPr>
    </w:p>
    <w:p w14:paraId="55FDA0DB" w14:textId="77777777" w:rsidR="003D7FAA" w:rsidRDefault="003D7FAA" w:rsidP="009505D2">
      <w:pPr>
        <w:spacing w:before="40" w:after="40" w:line="240" w:lineRule="auto"/>
        <w:rPr>
          <w:color w:val="000000"/>
          <w:sz w:val="28"/>
          <w:szCs w:val="28"/>
          <w:lang w:eastAsia="en-GB"/>
        </w:rPr>
      </w:pPr>
    </w:p>
    <w:p w14:paraId="67E73C3D" w14:textId="77777777" w:rsidR="003D7FAA" w:rsidRDefault="003D7FAA" w:rsidP="009505D2">
      <w:pPr>
        <w:spacing w:before="40" w:after="40" w:line="240" w:lineRule="auto"/>
        <w:rPr>
          <w:color w:val="000000"/>
          <w:sz w:val="28"/>
          <w:szCs w:val="28"/>
          <w:lang w:eastAsia="en-GB"/>
        </w:rPr>
      </w:pPr>
    </w:p>
    <w:p w14:paraId="3233C606" w14:textId="7E10DC7A" w:rsidR="0072209A" w:rsidRPr="00FE5C6F" w:rsidRDefault="00242F55" w:rsidP="009505D2">
      <w:pPr>
        <w:spacing w:before="40" w:after="40" w:line="240" w:lineRule="auto"/>
        <w:rPr>
          <w:color w:val="000000"/>
          <w:sz w:val="28"/>
          <w:szCs w:val="28"/>
          <w:lang w:eastAsia="en-GB"/>
        </w:rPr>
      </w:pPr>
      <w:r w:rsidRPr="00FE5C6F">
        <w:rPr>
          <w:color w:val="000000"/>
          <w:sz w:val="28"/>
          <w:szCs w:val="28"/>
          <w:lang w:eastAsia="en-GB"/>
        </w:rPr>
        <w:lastRenderedPageBreak/>
        <w:t>S</w:t>
      </w:r>
      <w:r w:rsidR="00907B0B">
        <w:rPr>
          <w:color w:val="000000"/>
          <w:sz w:val="28"/>
          <w:szCs w:val="28"/>
          <w:lang w:eastAsia="en-GB"/>
        </w:rPr>
        <w:t xml:space="preserve">ECTION 2: ISSUES </w:t>
      </w:r>
      <w:r w:rsidR="00D42640">
        <w:rPr>
          <w:color w:val="000000"/>
          <w:sz w:val="28"/>
          <w:szCs w:val="28"/>
          <w:lang w:eastAsia="en-GB"/>
        </w:rPr>
        <w:t>IN GREATER DETAIL</w:t>
      </w:r>
    </w:p>
    <w:p w14:paraId="434DCD68" w14:textId="1ACDEB2C" w:rsidR="00F506A3" w:rsidRDefault="00F506A3" w:rsidP="009505D2">
      <w:pPr>
        <w:spacing w:before="40" w:after="40" w:line="240" w:lineRule="auto"/>
        <w:rPr>
          <w:color w:val="000000"/>
          <w:lang w:eastAsia="en-GB"/>
        </w:rPr>
      </w:pPr>
    </w:p>
    <w:p w14:paraId="68C3A909" w14:textId="74187039" w:rsidR="00F506A3" w:rsidRPr="0094528E" w:rsidRDefault="00435249" w:rsidP="009505D2">
      <w:pPr>
        <w:spacing w:before="40" w:after="40" w:line="240" w:lineRule="auto"/>
        <w:rPr>
          <w:b/>
          <w:bCs/>
          <w:color w:val="000000"/>
          <w:sz w:val="24"/>
          <w:szCs w:val="24"/>
          <w:lang w:eastAsia="en-GB"/>
        </w:rPr>
      </w:pPr>
      <w:r w:rsidRPr="0094528E">
        <w:rPr>
          <w:b/>
          <w:bCs/>
          <w:color w:val="000000"/>
          <w:sz w:val="24"/>
          <w:szCs w:val="24"/>
          <w:lang w:eastAsia="en-GB"/>
        </w:rPr>
        <w:t>SW</w:t>
      </w:r>
      <w:r w:rsidR="000069F4" w:rsidRPr="0094528E">
        <w:rPr>
          <w:b/>
          <w:bCs/>
          <w:color w:val="000000"/>
          <w:sz w:val="24"/>
          <w:szCs w:val="24"/>
          <w:lang w:eastAsia="en-GB"/>
        </w:rPr>
        <w:t xml:space="preserve">-01. </w:t>
      </w:r>
      <w:r w:rsidR="00F506A3" w:rsidRPr="0094528E">
        <w:rPr>
          <w:b/>
          <w:bCs/>
          <w:color w:val="000000"/>
          <w:sz w:val="24"/>
          <w:szCs w:val="24"/>
          <w:lang w:eastAsia="en-GB"/>
        </w:rPr>
        <w:t>Domestic workers excluded from the Employment Act</w:t>
      </w:r>
    </w:p>
    <w:p w14:paraId="7E2F6644" w14:textId="7B7328F3" w:rsidR="00F506A3" w:rsidRDefault="00F506A3" w:rsidP="009505D2">
      <w:pPr>
        <w:spacing w:before="40" w:after="40" w:line="240" w:lineRule="auto"/>
        <w:rPr>
          <w:color w:val="000000"/>
          <w:lang w:eastAsia="en-GB"/>
        </w:rPr>
      </w:pPr>
    </w:p>
    <w:p w14:paraId="0BF6E200" w14:textId="32A5EC6C" w:rsidR="00F506A3" w:rsidRDefault="00D42640" w:rsidP="009505D2">
      <w:pPr>
        <w:spacing w:before="40" w:after="40" w:line="240" w:lineRule="auto"/>
        <w:rPr>
          <w:color w:val="000000"/>
          <w:lang w:eastAsia="en-GB"/>
        </w:rPr>
      </w:pPr>
      <w:r>
        <w:rPr>
          <w:color w:val="000000"/>
          <w:lang w:eastAsia="en-GB"/>
        </w:rPr>
        <w:t>2.01.1</w:t>
      </w:r>
      <w:r>
        <w:rPr>
          <w:color w:val="000000"/>
          <w:lang w:eastAsia="en-GB"/>
        </w:rPr>
        <w:tab/>
      </w:r>
      <w:r w:rsidR="00F506A3" w:rsidRPr="00F506A3">
        <w:rPr>
          <w:color w:val="000000"/>
          <w:lang w:eastAsia="en-GB"/>
        </w:rPr>
        <w:t>Domestic workers continue to be excluded from Singapore’s main labour law, the Employment</w:t>
      </w:r>
      <w:r>
        <w:rPr>
          <w:color w:val="000000"/>
          <w:lang w:eastAsia="en-GB"/>
        </w:rPr>
        <w:t xml:space="preserve"> </w:t>
      </w:r>
      <w:r w:rsidR="00F506A3" w:rsidRPr="00F506A3">
        <w:rPr>
          <w:color w:val="000000"/>
          <w:lang w:eastAsia="en-GB"/>
        </w:rPr>
        <w:t xml:space="preserve">Act. </w:t>
      </w:r>
      <w:r w:rsidR="00F506A3">
        <w:rPr>
          <w:color w:val="000000"/>
          <w:lang w:eastAsia="en-GB"/>
        </w:rPr>
        <w:t xml:space="preserve">The government has said that despite this, they are </w:t>
      </w:r>
      <w:r w:rsidR="00F506A3" w:rsidRPr="00F506A3">
        <w:rPr>
          <w:color w:val="000000"/>
          <w:lang w:eastAsia="en-GB"/>
        </w:rPr>
        <w:t xml:space="preserve">they are provided with </w:t>
      </w:r>
      <w:r w:rsidR="00F506A3">
        <w:rPr>
          <w:color w:val="000000"/>
          <w:lang w:eastAsia="en-GB"/>
        </w:rPr>
        <w:t xml:space="preserve">robust policies and </w:t>
      </w:r>
      <w:r w:rsidR="00F506A3" w:rsidRPr="00F506A3">
        <w:rPr>
          <w:color w:val="000000"/>
          <w:lang w:eastAsia="en-GB"/>
        </w:rPr>
        <w:t>other</w:t>
      </w:r>
      <w:r w:rsidR="00F506A3">
        <w:rPr>
          <w:color w:val="000000"/>
          <w:lang w:eastAsia="en-GB"/>
        </w:rPr>
        <w:t xml:space="preserve"> </w:t>
      </w:r>
      <w:r w:rsidR="00F506A3" w:rsidRPr="00F506A3">
        <w:rPr>
          <w:color w:val="000000"/>
          <w:lang w:eastAsia="en-GB"/>
        </w:rPr>
        <w:t>legislative protections</w:t>
      </w:r>
      <w:r w:rsidR="00F506A3">
        <w:rPr>
          <w:color w:val="000000"/>
          <w:lang w:eastAsia="en-GB"/>
        </w:rPr>
        <w:t xml:space="preserve">, namely the Employment of Foreign Manpower Act (EFMA). </w:t>
      </w:r>
      <w:r w:rsidR="00F506A3" w:rsidRPr="00F506A3">
        <w:rPr>
          <w:color w:val="000000"/>
          <w:lang w:eastAsia="en-GB"/>
        </w:rPr>
        <w:t xml:space="preserve">This is </w:t>
      </w:r>
      <w:r w:rsidR="00F506A3">
        <w:rPr>
          <w:color w:val="000000"/>
          <w:lang w:eastAsia="en-GB"/>
        </w:rPr>
        <w:t>misleading. The protections offered f</w:t>
      </w:r>
      <w:r w:rsidR="00F506A3" w:rsidRPr="00F506A3">
        <w:rPr>
          <w:color w:val="000000"/>
          <w:lang w:eastAsia="en-GB"/>
        </w:rPr>
        <w:t>all short of international labour</w:t>
      </w:r>
      <w:r w:rsidR="00F506A3">
        <w:rPr>
          <w:color w:val="000000"/>
          <w:lang w:eastAsia="en-GB"/>
        </w:rPr>
        <w:t xml:space="preserve"> </w:t>
      </w:r>
      <w:r w:rsidR="00F506A3" w:rsidRPr="00F506A3">
        <w:rPr>
          <w:color w:val="000000"/>
          <w:lang w:eastAsia="en-GB"/>
        </w:rPr>
        <w:t>rights standards. There are</w:t>
      </w:r>
      <w:r w:rsidR="00F506A3">
        <w:rPr>
          <w:color w:val="000000"/>
          <w:lang w:eastAsia="en-GB"/>
        </w:rPr>
        <w:t xml:space="preserve">, for example, </w:t>
      </w:r>
      <w:r w:rsidR="00F506A3" w:rsidRPr="00F506A3">
        <w:rPr>
          <w:color w:val="000000"/>
          <w:lang w:eastAsia="en-GB"/>
        </w:rPr>
        <w:t>no legal limits</w:t>
      </w:r>
      <w:r w:rsidR="00F506A3">
        <w:rPr>
          <w:color w:val="000000"/>
          <w:lang w:eastAsia="en-GB"/>
        </w:rPr>
        <w:t xml:space="preserve"> within EFMA on</w:t>
      </w:r>
      <w:r w:rsidR="00F506A3" w:rsidRPr="00F506A3">
        <w:rPr>
          <w:color w:val="000000"/>
          <w:lang w:eastAsia="en-GB"/>
        </w:rPr>
        <w:t xml:space="preserve"> the number of hours they can </w:t>
      </w:r>
      <w:r w:rsidR="00F506A3">
        <w:rPr>
          <w:color w:val="000000"/>
          <w:lang w:eastAsia="en-GB"/>
        </w:rPr>
        <w:t xml:space="preserve">be asked to </w:t>
      </w:r>
      <w:proofErr w:type="gramStart"/>
      <w:r w:rsidR="00F506A3" w:rsidRPr="00F506A3">
        <w:rPr>
          <w:color w:val="000000"/>
          <w:lang w:eastAsia="en-GB"/>
        </w:rPr>
        <w:t>work</w:t>
      </w:r>
      <w:proofErr w:type="gramEnd"/>
      <w:r w:rsidR="00F506A3" w:rsidRPr="00F506A3">
        <w:rPr>
          <w:color w:val="000000"/>
          <w:lang w:eastAsia="en-GB"/>
        </w:rPr>
        <w:t xml:space="preserve"> and it is not</w:t>
      </w:r>
      <w:r w:rsidR="00F506A3">
        <w:rPr>
          <w:color w:val="000000"/>
          <w:lang w:eastAsia="en-GB"/>
        </w:rPr>
        <w:t xml:space="preserve"> </w:t>
      </w:r>
      <w:r w:rsidR="00F506A3" w:rsidRPr="00F506A3">
        <w:rPr>
          <w:color w:val="000000"/>
          <w:lang w:eastAsia="en-GB"/>
        </w:rPr>
        <w:t>mandatory for domestic workers to have a weekly 24-hour day off. Public holidays, paid annual</w:t>
      </w:r>
      <w:r w:rsidR="00F506A3">
        <w:rPr>
          <w:color w:val="000000"/>
          <w:lang w:eastAsia="en-GB"/>
        </w:rPr>
        <w:t xml:space="preserve"> </w:t>
      </w:r>
      <w:r w:rsidR="00F506A3" w:rsidRPr="00F506A3">
        <w:rPr>
          <w:color w:val="000000"/>
          <w:lang w:eastAsia="en-GB"/>
        </w:rPr>
        <w:t>leave, and sick leave are also not legally guaranteed</w:t>
      </w:r>
      <w:r w:rsidR="00257A52">
        <w:rPr>
          <w:rStyle w:val="EndnoteReference"/>
          <w:color w:val="000000"/>
          <w:lang w:eastAsia="en-GB"/>
        </w:rPr>
        <w:endnoteReference w:id="1"/>
      </w:r>
      <w:r w:rsidR="00F506A3">
        <w:rPr>
          <w:color w:val="000000"/>
          <w:lang w:eastAsia="en-GB"/>
        </w:rPr>
        <w:t>. Moreover, domestic workers are specifically excluded from the Work Injury Compensation Act</w:t>
      </w:r>
      <w:r w:rsidR="00F506A3">
        <w:rPr>
          <w:rStyle w:val="EndnoteReference"/>
          <w:color w:val="000000"/>
          <w:lang w:eastAsia="en-GB"/>
        </w:rPr>
        <w:endnoteReference w:id="2"/>
      </w:r>
      <w:r w:rsidR="00631DA9">
        <w:rPr>
          <w:color w:val="000000"/>
          <w:lang w:eastAsia="en-GB"/>
        </w:rPr>
        <w:t>.</w:t>
      </w:r>
    </w:p>
    <w:p w14:paraId="19C83365" w14:textId="1DC78B53" w:rsidR="00631DA9" w:rsidRDefault="00631DA9" w:rsidP="009505D2">
      <w:pPr>
        <w:spacing w:before="40" w:after="40" w:line="240" w:lineRule="auto"/>
        <w:rPr>
          <w:color w:val="000000"/>
          <w:lang w:eastAsia="en-GB"/>
        </w:rPr>
      </w:pPr>
    </w:p>
    <w:p w14:paraId="0B38B9DC" w14:textId="77777777" w:rsidR="0094528E" w:rsidRDefault="0094528E" w:rsidP="009505D2">
      <w:pPr>
        <w:spacing w:before="40" w:after="40" w:line="240" w:lineRule="auto"/>
        <w:rPr>
          <w:color w:val="000000"/>
          <w:lang w:eastAsia="en-GB"/>
        </w:rPr>
      </w:pPr>
    </w:p>
    <w:p w14:paraId="311851C8" w14:textId="070625EB" w:rsidR="00631DA9" w:rsidRPr="0094528E" w:rsidRDefault="00631DA9" w:rsidP="009505D2">
      <w:pPr>
        <w:spacing w:before="40" w:after="40" w:line="240" w:lineRule="auto"/>
        <w:rPr>
          <w:b/>
          <w:bCs/>
          <w:color w:val="000000"/>
          <w:sz w:val="24"/>
          <w:szCs w:val="24"/>
          <w:lang w:eastAsia="en-GB"/>
        </w:rPr>
      </w:pPr>
      <w:r w:rsidRPr="0094528E">
        <w:rPr>
          <w:b/>
          <w:bCs/>
          <w:color w:val="000000"/>
          <w:sz w:val="24"/>
          <w:szCs w:val="24"/>
          <w:lang w:eastAsia="en-GB"/>
        </w:rPr>
        <w:t>SW-02. No effective action against high recruitment costs</w:t>
      </w:r>
    </w:p>
    <w:p w14:paraId="51120EB0" w14:textId="3CCA5300" w:rsidR="00631DA9" w:rsidRDefault="00631DA9" w:rsidP="009505D2">
      <w:pPr>
        <w:spacing w:before="40" w:after="40" w:line="240" w:lineRule="auto"/>
        <w:rPr>
          <w:color w:val="000000"/>
          <w:lang w:eastAsia="en-GB"/>
        </w:rPr>
      </w:pPr>
    </w:p>
    <w:p w14:paraId="38DEF168" w14:textId="5E00F86C" w:rsidR="00631DA9" w:rsidRDefault="00D42640" w:rsidP="009505D2">
      <w:pPr>
        <w:spacing w:before="40" w:after="40" w:line="240" w:lineRule="auto"/>
        <w:rPr>
          <w:color w:val="000000"/>
          <w:lang w:eastAsia="en-GB"/>
        </w:rPr>
      </w:pPr>
      <w:r>
        <w:rPr>
          <w:color w:val="000000"/>
          <w:lang w:eastAsia="en-GB"/>
        </w:rPr>
        <w:t>2.02.1</w:t>
      </w:r>
      <w:r>
        <w:rPr>
          <w:color w:val="000000"/>
          <w:lang w:eastAsia="en-GB"/>
        </w:rPr>
        <w:tab/>
      </w:r>
      <w:r w:rsidR="00317752">
        <w:rPr>
          <w:color w:val="000000"/>
          <w:lang w:eastAsia="en-GB"/>
        </w:rPr>
        <w:t>Migrant workers continue to report having to pay high recruitment fees to secure employment in Singapore. The amounts vary depending on the country of origin, skills and experience of the worker, and can be as high as US$12,000</w:t>
      </w:r>
      <w:r w:rsidR="00317752">
        <w:rPr>
          <w:rStyle w:val="EndnoteReference"/>
          <w:color w:val="000000"/>
          <w:lang w:eastAsia="en-GB"/>
        </w:rPr>
        <w:endnoteReference w:id="3"/>
      </w:r>
      <w:r w:rsidR="00317752">
        <w:rPr>
          <w:color w:val="000000"/>
          <w:lang w:eastAsia="en-GB"/>
        </w:rPr>
        <w:t xml:space="preserve"> for someone looking for his first job in Singapore.</w:t>
      </w:r>
    </w:p>
    <w:p w14:paraId="4AC644BF" w14:textId="2E0ED522" w:rsidR="00317752" w:rsidRDefault="00317752" w:rsidP="009505D2">
      <w:pPr>
        <w:spacing w:before="40" w:after="40" w:line="240" w:lineRule="auto"/>
        <w:rPr>
          <w:color w:val="000000"/>
          <w:lang w:eastAsia="en-GB"/>
        </w:rPr>
      </w:pPr>
    </w:p>
    <w:p w14:paraId="0A134089" w14:textId="1AF44293" w:rsidR="00317752" w:rsidRDefault="00D42640" w:rsidP="009505D2">
      <w:pPr>
        <w:spacing w:before="40" w:after="40" w:line="240" w:lineRule="auto"/>
        <w:rPr>
          <w:color w:val="000000"/>
          <w:lang w:eastAsia="en-GB"/>
        </w:rPr>
      </w:pPr>
      <w:r w:rsidRPr="00104139">
        <w:rPr>
          <w:lang w:eastAsia="en-GB"/>
        </w:rPr>
        <w:t>2.02.2</w:t>
      </w:r>
      <w:r w:rsidRPr="00104139">
        <w:rPr>
          <w:lang w:eastAsia="en-GB"/>
        </w:rPr>
        <w:tab/>
      </w:r>
      <w:r w:rsidR="006639BE">
        <w:rPr>
          <w:lang w:eastAsia="en-GB"/>
        </w:rPr>
        <w:t>E</w:t>
      </w:r>
      <w:r w:rsidR="00317752" w:rsidRPr="00104139">
        <w:rPr>
          <w:lang w:eastAsia="en-GB"/>
        </w:rPr>
        <w:t xml:space="preserve">ven when securing second, third or </w:t>
      </w:r>
      <w:r w:rsidR="00317752">
        <w:rPr>
          <w:color w:val="000000"/>
          <w:lang w:eastAsia="en-GB"/>
        </w:rPr>
        <w:t xml:space="preserve">subsequent jobs (“re-hires”), it remains common </w:t>
      </w:r>
      <w:r w:rsidR="00F84CA6">
        <w:rPr>
          <w:color w:val="000000"/>
          <w:lang w:eastAsia="en-GB"/>
        </w:rPr>
        <w:t xml:space="preserve">for them to </w:t>
      </w:r>
      <w:r w:rsidR="00317752">
        <w:rPr>
          <w:color w:val="000000"/>
          <w:lang w:eastAsia="en-GB"/>
        </w:rPr>
        <w:t xml:space="preserve">have to pay </w:t>
      </w:r>
      <w:r w:rsidR="00E5583D">
        <w:rPr>
          <w:color w:val="000000"/>
          <w:lang w:eastAsia="en-GB"/>
        </w:rPr>
        <w:t xml:space="preserve">substantial </w:t>
      </w:r>
      <w:r w:rsidR="00317752">
        <w:rPr>
          <w:color w:val="000000"/>
          <w:lang w:eastAsia="en-GB"/>
        </w:rPr>
        <w:t>recruitment costs</w:t>
      </w:r>
      <w:r w:rsidR="00AD0FFC">
        <w:rPr>
          <w:color w:val="000000"/>
          <w:lang w:eastAsia="en-GB"/>
        </w:rPr>
        <w:t>, typically to unlicenced job brokers</w:t>
      </w:r>
      <w:r w:rsidR="00317752">
        <w:rPr>
          <w:color w:val="000000"/>
          <w:lang w:eastAsia="en-GB"/>
        </w:rPr>
        <w:t>. A study</w:t>
      </w:r>
      <w:r w:rsidR="00E5583D">
        <w:rPr>
          <w:rStyle w:val="EndnoteReference"/>
          <w:color w:val="000000"/>
          <w:lang w:eastAsia="en-GB"/>
        </w:rPr>
        <w:endnoteReference w:id="4"/>
      </w:r>
      <w:r w:rsidR="00317752">
        <w:rPr>
          <w:color w:val="000000"/>
          <w:lang w:eastAsia="en-GB"/>
        </w:rPr>
        <w:t xml:space="preserve"> published in 2019 found </w:t>
      </w:r>
      <w:r w:rsidR="00E5583D">
        <w:rPr>
          <w:color w:val="000000"/>
          <w:lang w:eastAsia="en-GB"/>
        </w:rPr>
        <w:t>the</w:t>
      </w:r>
      <w:r w:rsidR="00317752">
        <w:rPr>
          <w:color w:val="000000"/>
          <w:lang w:eastAsia="en-GB"/>
        </w:rPr>
        <w:t xml:space="preserve"> median recruitment cost for re-hires</w:t>
      </w:r>
      <w:r w:rsidR="00E5583D">
        <w:rPr>
          <w:color w:val="000000"/>
          <w:lang w:eastAsia="en-GB"/>
        </w:rPr>
        <w:t xml:space="preserve"> to be about US$3,000, </w:t>
      </w:r>
      <w:r w:rsidR="00AD0FFC">
        <w:rPr>
          <w:color w:val="000000"/>
          <w:lang w:eastAsia="en-GB"/>
        </w:rPr>
        <w:t>about five to eight</w:t>
      </w:r>
      <w:r w:rsidR="00E5583D">
        <w:rPr>
          <w:color w:val="000000"/>
          <w:lang w:eastAsia="en-GB"/>
        </w:rPr>
        <w:t xml:space="preserve"> times their monthly basic salary, </w:t>
      </w:r>
      <w:r w:rsidR="00317752">
        <w:rPr>
          <w:color w:val="000000"/>
          <w:lang w:eastAsia="en-GB"/>
        </w:rPr>
        <w:t>well above the legal maximum</w:t>
      </w:r>
      <w:r w:rsidR="00E5583D">
        <w:rPr>
          <w:color w:val="000000"/>
          <w:lang w:eastAsia="en-GB"/>
        </w:rPr>
        <w:t xml:space="preserve"> of one or two times monthly basic salary (depending on length of contract).</w:t>
      </w:r>
    </w:p>
    <w:p w14:paraId="2289E45B" w14:textId="1F0A2D3C" w:rsidR="00E5583D" w:rsidRDefault="00E5583D" w:rsidP="009505D2">
      <w:pPr>
        <w:spacing w:before="40" w:after="40" w:line="240" w:lineRule="auto"/>
        <w:rPr>
          <w:color w:val="000000"/>
          <w:lang w:eastAsia="en-GB"/>
        </w:rPr>
      </w:pPr>
    </w:p>
    <w:p w14:paraId="647616C9" w14:textId="28026DA5" w:rsidR="00E5583D" w:rsidRDefault="00D42640" w:rsidP="009505D2">
      <w:pPr>
        <w:spacing w:before="40" w:after="40" w:line="240" w:lineRule="auto"/>
        <w:rPr>
          <w:color w:val="000000"/>
          <w:lang w:eastAsia="en-GB"/>
        </w:rPr>
      </w:pPr>
      <w:r>
        <w:rPr>
          <w:color w:val="000000"/>
          <w:lang w:eastAsia="en-GB"/>
        </w:rPr>
        <w:t>2.02.3</w:t>
      </w:r>
      <w:r>
        <w:rPr>
          <w:color w:val="000000"/>
          <w:lang w:eastAsia="en-GB"/>
        </w:rPr>
        <w:tab/>
      </w:r>
      <w:r w:rsidR="00E5583D">
        <w:rPr>
          <w:color w:val="000000"/>
          <w:lang w:eastAsia="en-GB"/>
        </w:rPr>
        <w:t>The government has said in the past that they are unable to police such intermediary fees because demands and payment take place outside Singapore jurisdiction. Our study</w:t>
      </w:r>
      <w:r w:rsidR="00E5583D">
        <w:rPr>
          <w:rStyle w:val="EndnoteReference"/>
          <w:color w:val="000000"/>
          <w:lang w:eastAsia="en-GB"/>
        </w:rPr>
        <w:endnoteReference w:id="5"/>
      </w:r>
      <w:r w:rsidR="00E5583D">
        <w:rPr>
          <w:color w:val="000000"/>
          <w:lang w:eastAsia="en-GB"/>
        </w:rPr>
        <w:t xml:space="preserve"> reveals this to be untrue. About half of re-hires reported that at least one of their agents involved in securing their current jobs </w:t>
      </w:r>
      <w:r w:rsidR="00F7060B">
        <w:rPr>
          <w:color w:val="000000"/>
          <w:lang w:eastAsia="en-GB"/>
        </w:rPr>
        <w:t>(</w:t>
      </w:r>
      <w:r w:rsidR="00E5583D">
        <w:rPr>
          <w:color w:val="000000"/>
          <w:lang w:eastAsia="en-GB"/>
        </w:rPr>
        <w:t xml:space="preserve">some workers </w:t>
      </w:r>
      <w:proofErr w:type="gramStart"/>
      <w:r w:rsidR="00E5583D">
        <w:rPr>
          <w:color w:val="000000"/>
          <w:lang w:eastAsia="en-GB"/>
        </w:rPr>
        <w:t>have to</w:t>
      </w:r>
      <w:proofErr w:type="gramEnd"/>
      <w:r w:rsidR="00E5583D">
        <w:rPr>
          <w:color w:val="000000"/>
          <w:lang w:eastAsia="en-GB"/>
        </w:rPr>
        <w:t xml:space="preserve"> go through two agents</w:t>
      </w:r>
      <w:r w:rsidR="00F7060B">
        <w:rPr>
          <w:color w:val="000000"/>
          <w:lang w:eastAsia="en-GB"/>
        </w:rPr>
        <w:t>)</w:t>
      </w:r>
      <w:r w:rsidR="00E5583D">
        <w:rPr>
          <w:color w:val="000000"/>
          <w:lang w:eastAsia="en-GB"/>
        </w:rPr>
        <w:t xml:space="preserve"> was based in Singapore.</w:t>
      </w:r>
      <w:r w:rsidR="00F7060B">
        <w:rPr>
          <w:color w:val="000000"/>
          <w:lang w:eastAsia="en-GB"/>
        </w:rPr>
        <w:t xml:space="preserve"> HOME and TWC2 regularly encounter workers who report having to make illicit payments to job brokers</w:t>
      </w:r>
      <w:r w:rsidR="00AD0FFC">
        <w:rPr>
          <w:color w:val="000000"/>
          <w:lang w:eastAsia="en-GB"/>
        </w:rPr>
        <w:t>, company bosses or senior employees</w:t>
      </w:r>
      <w:r w:rsidR="00F7060B">
        <w:rPr>
          <w:color w:val="000000"/>
          <w:lang w:eastAsia="en-GB"/>
        </w:rPr>
        <w:t xml:space="preserve"> operating in Singapore</w:t>
      </w:r>
      <w:r w:rsidR="00F7060B" w:rsidRPr="00F7060B">
        <w:rPr>
          <w:rStyle w:val="EndnoteReference"/>
          <w:color w:val="000000"/>
          <w:lang w:eastAsia="en-GB"/>
        </w:rPr>
        <w:endnoteReference w:id="6"/>
      </w:r>
      <w:r w:rsidR="00F7060B" w:rsidRPr="00F7060B">
        <w:rPr>
          <w:color w:val="000000"/>
          <w:vertAlign w:val="superscript"/>
          <w:lang w:eastAsia="en-GB"/>
        </w:rPr>
        <w:t xml:space="preserve">, </w:t>
      </w:r>
      <w:r w:rsidR="00F7060B" w:rsidRPr="00F7060B">
        <w:rPr>
          <w:rStyle w:val="EndnoteReference"/>
          <w:color w:val="000000"/>
          <w:lang w:eastAsia="en-GB"/>
        </w:rPr>
        <w:endnoteReference w:id="7"/>
      </w:r>
      <w:r w:rsidR="00F7060B">
        <w:rPr>
          <w:color w:val="000000"/>
          <w:lang w:eastAsia="en-GB"/>
        </w:rPr>
        <w:t>.</w:t>
      </w:r>
      <w:r w:rsidR="00104139">
        <w:rPr>
          <w:color w:val="000000"/>
          <w:lang w:eastAsia="en-GB"/>
        </w:rPr>
        <w:t xml:space="preserve"> The government’s reliance on the misleading explanation that</w:t>
      </w:r>
      <w:r w:rsidR="00065574">
        <w:rPr>
          <w:color w:val="000000"/>
          <w:lang w:eastAsia="en-GB"/>
        </w:rPr>
        <w:t xml:space="preserve"> transactions lie</w:t>
      </w:r>
      <w:r w:rsidR="00104139">
        <w:rPr>
          <w:color w:val="000000"/>
          <w:lang w:eastAsia="en-GB"/>
        </w:rPr>
        <w:t xml:space="preserve"> outside Singapore’s jurisdiction only serves to justify inaction against offences occurring right here.</w:t>
      </w:r>
    </w:p>
    <w:p w14:paraId="41A0917D" w14:textId="75A5F44C" w:rsidR="00257A52" w:rsidRDefault="00257A52" w:rsidP="009505D2">
      <w:pPr>
        <w:spacing w:before="40" w:after="40" w:line="240" w:lineRule="auto"/>
        <w:rPr>
          <w:color w:val="000000"/>
          <w:lang w:eastAsia="en-GB"/>
        </w:rPr>
      </w:pPr>
    </w:p>
    <w:p w14:paraId="7FFB5FE1" w14:textId="578B28BA" w:rsidR="00F7060B" w:rsidRDefault="00D42640" w:rsidP="009505D2">
      <w:pPr>
        <w:spacing w:before="40" w:after="40" w:line="240" w:lineRule="auto"/>
        <w:rPr>
          <w:color w:val="000000"/>
          <w:lang w:eastAsia="en-GB"/>
        </w:rPr>
      </w:pPr>
      <w:r>
        <w:rPr>
          <w:color w:val="000000"/>
          <w:lang w:eastAsia="en-GB"/>
        </w:rPr>
        <w:t>2.02.</w:t>
      </w:r>
      <w:r w:rsidR="00104139">
        <w:rPr>
          <w:color w:val="000000"/>
          <w:lang w:eastAsia="en-GB"/>
        </w:rPr>
        <w:t>4</w:t>
      </w:r>
      <w:r>
        <w:rPr>
          <w:color w:val="000000"/>
          <w:lang w:eastAsia="en-GB"/>
        </w:rPr>
        <w:tab/>
      </w:r>
      <w:r w:rsidR="00F7060B">
        <w:rPr>
          <w:color w:val="000000"/>
          <w:lang w:eastAsia="en-GB"/>
        </w:rPr>
        <w:t xml:space="preserve">When workers file complaints about illegal recruitment fees, officials are known to ask for documentation and proof. </w:t>
      </w:r>
      <w:r w:rsidR="00AD0FFC">
        <w:rPr>
          <w:color w:val="000000"/>
          <w:lang w:eastAsia="en-GB"/>
        </w:rPr>
        <w:t>Since i</w:t>
      </w:r>
      <w:r w:rsidR="00F7060B">
        <w:rPr>
          <w:color w:val="000000"/>
          <w:lang w:eastAsia="en-GB"/>
        </w:rPr>
        <w:t xml:space="preserve">t is </w:t>
      </w:r>
      <w:proofErr w:type="gramStart"/>
      <w:r w:rsidR="00F7060B">
        <w:rPr>
          <w:color w:val="000000"/>
          <w:lang w:eastAsia="en-GB"/>
        </w:rPr>
        <w:t>in the nature of illicit</w:t>
      </w:r>
      <w:proofErr w:type="gramEnd"/>
      <w:r w:rsidR="00F7060B">
        <w:rPr>
          <w:color w:val="000000"/>
          <w:lang w:eastAsia="en-GB"/>
        </w:rPr>
        <w:t xml:space="preserve"> transactions that they are almost always verbal and transacted in cash, very few workers’ complaints are </w:t>
      </w:r>
      <w:r w:rsidR="000C1635">
        <w:rPr>
          <w:color w:val="000000"/>
          <w:lang w:eastAsia="en-GB"/>
        </w:rPr>
        <w:t>rigorously followed up</w:t>
      </w:r>
      <w:r w:rsidR="00AD0FFC">
        <w:rPr>
          <w:color w:val="000000"/>
          <w:lang w:eastAsia="en-GB"/>
        </w:rPr>
        <w:t xml:space="preserve"> by investigating officers as a result</w:t>
      </w:r>
      <w:r w:rsidR="000C1635">
        <w:rPr>
          <w:color w:val="000000"/>
          <w:lang w:eastAsia="en-GB"/>
        </w:rPr>
        <w:t>. Almost never do we hear reports of successful</w:t>
      </w:r>
      <w:r w:rsidR="00104139">
        <w:rPr>
          <w:color w:val="000000"/>
          <w:lang w:eastAsia="en-GB"/>
        </w:rPr>
        <w:t xml:space="preserve"> apprehension</w:t>
      </w:r>
      <w:r w:rsidR="000C1635">
        <w:rPr>
          <w:color w:val="000000"/>
          <w:lang w:eastAsia="en-GB"/>
        </w:rPr>
        <w:t xml:space="preserve"> of such “agents” operating </w:t>
      </w:r>
      <w:proofErr w:type="gramStart"/>
      <w:r w:rsidR="000C1635">
        <w:rPr>
          <w:color w:val="000000"/>
          <w:lang w:eastAsia="en-GB"/>
        </w:rPr>
        <w:t>illegally ,</w:t>
      </w:r>
      <w:proofErr w:type="gramEnd"/>
      <w:r w:rsidR="000C1635">
        <w:rPr>
          <w:color w:val="000000"/>
          <w:lang w:eastAsia="en-GB"/>
        </w:rPr>
        <w:t xml:space="preserve"> nor of restitution to victimised workers.</w:t>
      </w:r>
    </w:p>
    <w:p w14:paraId="372C3327" w14:textId="35B33BDB" w:rsidR="000C1635" w:rsidRDefault="000C1635" w:rsidP="009505D2">
      <w:pPr>
        <w:spacing w:before="40" w:after="40" w:line="240" w:lineRule="auto"/>
        <w:rPr>
          <w:color w:val="000000"/>
          <w:lang w:eastAsia="en-GB"/>
        </w:rPr>
      </w:pPr>
    </w:p>
    <w:p w14:paraId="3DF1976E" w14:textId="176CC153" w:rsidR="00AD0FFC" w:rsidRDefault="00D42640" w:rsidP="009505D2">
      <w:pPr>
        <w:spacing w:before="40" w:after="40" w:line="240" w:lineRule="auto"/>
        <w:rPr>
          <w:color w:val="000000"/>
          <w:lang w:eastAsia="en-GB"/>
        </w:rPr>
      </w:pPr>
      <w:r>
        <w:rPr>
          <w:color w:val="000000"/>
          <w:lang w:eastAsia="en-GB"/>
        </w:rPr>
        <w:t>2.02.</w:t>
      </w:r>
      <w:r w:rsidR="00104139">
        <w:rPr>
          <w:color w:val="000000"/>
          <w:lang w:eastAsia="en-GB"/>
        </w:rPr>
        <w:t>5</w:t>
      </w:r>
      <w:r>
        <w:rPr>
          <w:color w:val="000000"/>
          <w:lang w:eastAsia="en-GB"/>
        </w:rPr>
        <w:tab/>
      </w:r>
      <w:r w:rsidR="000C1635">
        <w:rPr>
          <w:color w:val="000000"/>
          <w:lang w:eastAsia="en-GB"/>
        </w:rPr>
        <w:t>Given the undocumented nature of such job brokering and the lack of evidence trail</w:t>
      </w:r>
      <w:r w:rsidR="00065574">
        <w:rPr>
          <w:color w:val="000000"/>
          <w:lang w:eastAsia="en-GB"/>
        </w:rPr>
        <w:t>s</w:t>
      </w:r>
      <w:r w:rsidR="000C1635">
        <w:rPr>
          <w:color w:val="000000"/>
          <w:lang w:eastAsia="en-GB"/>
        </w:rPr>
        <w:t>, the criminal justice approach m</w:t>
      </w:r>
      <w:r w:rsidR="00104139">
        <w:rPr>
          <w:color w:val="000000"/>
          <w:lang w:eastAsia="en-GB"/>
        </w:rPr>
        <w:t>a</w:t>
      </w:r>
      <w:r w:rsidR="000C1635">
        <w:rPr>
          <w:color w:val="000000"/>
          <w:lang w:eastAsia="en-GB"/>
        </w:rPr>
        <w:t>y never be an adequate solution. The recruitment market suffers from systemic failure, which needs to be addressed through systemic change. TWC2 has proposed solutions</w:t>
      </w:r>
      <w:r w:rsidR="000C1635">
        <w:rPr>
          <w:rStyle w:val="EndnoteReference"/>
          <w:color w:val="000000"/>
          <w:lang w:eastAsia="en-GB"/>
        </w:rPr>
        <w:endnoteReference w:id="8"/>
      </w:r>
      <w:r w:rsidR="000C1635">
        <w:rPr>
          <w:color w:val="000000"/>
          <w:lang w:eastAsia="en-GB"/>
        </w:rPr>
        <w:t xml:space="preserve"> which have yet to be adopted by the Singapore government. </w:t>
      </w:r>
    </w:p>
    <w:p w14:paraId="1640218A" w14:textId="35536AF9" w:rsidR="00104139" w:rsidRDefault="00104139" w:rsidP="009505D2">
      <w:pPr>
        <w:spacing w:before="40" w:after="40" w:line="240" w:lineRule="auto"/>
        <w:rPr>
          <w:color w:val="000000"/>
          <w:lang w:eastAsia="en-GB"/>
        </w:rPr>
      </w:pPr>
    </w:p>
    <w:p w14:paraId="76E94151" w14:textId="16D68DE6" w:rsidR="00104139" w:rsidRDefault="00104139" w:rsidP="009505D2">
      <w:pPr>
        <w:spacing w:before="40" w:after="40" w:line="240" w:lineRule="auto"/>
        <w:rPr>
          <w:color w:val="000000"/>
          <w:lang w:eastAsia="en-GB"/>
        </w:rPr>
      </w:pPr>
      <w:r>
        <w:rPr>
          <w:color w:val="000000"/>
          <w:lang w:eastAsia="en-GB"/>
        </w:rPr>
        <w:lastRenderedPageBreak/>
        <w:t>2.02.6</w:t>
      </w:r>
      <w:r>
        <w:rPr>
          <w:color w:val="000000"/>
          <w:lang w:eastAsia="en-GB"/>
        </w:rPr>
        <w:tab/>
        <w:t>Related to the issue of recruitment costs is the practice of demanding further payments from workers for renewal of their work permits. This does not affect all workers, but nonetheless a significant minority of them</w:t>
      </w:r>
      <w:r>
        <w:rPr>
          <w:rStyle w:val="EndnoteReference"/>
          <w:color w:val="000000"/>
          <w:lang w:eastAsia="en-GB"/>
        </w:rPr>
        <w:endnoteReference w:id="9"/>
      </w:r>
      <w:r>
        <w:rPr>
          <w:color w:val="000000"/>
          <w:lang w:eastAsia="en-GB"/>
        </w:rPr>
        <w:t>. Amounts tend to be in the range of US$1,000 – US$2,000.</w:t>
      </w:r>
    </w:p>
    <w:p w14:paraId="5C3BA301" w14:textId="77777777" w:rsidR="00104139" w:rsidRDefault="00104139" w:rsidP="009505D2">
      <w:pPr>
        <w:spacing w:before="40" w:after="40" w:line="240" w:lineRule="auto"/>
        <w:rPr>
          <w:color w:val="000000"/>
          <w:lang w:eastAsia="en-GB"/>
        </w:rPr>
      </w:pPr>
    </w:p>
    <w:p w14:paraId="433E456E" w14:textId="77777777" w:rsidR="0094528E" w:rsidRDefault="0094528E" w:rsidP="009505D2">
      <w:pPr>
        <w:spacing w:before="40" w:after="40" w:line="240" w:lineRule="auto"/>
        <w:rPr>
          <w:color w:val="000000"/>
          <w:lang w:eastAsia="en-GB"/>
        </w:rPr>
      </w:pPr>
    </w:p>
    <w:p w14:paraId="0D1A4108" w14:textId="0B670056" w:rsidR="00631DA9" w:rsidRPr="00A37BCD" w:rsidRDefault="00631DA9" w:rsidP="009505D2">
      <w:pPr>
        <w:pStyle w:val="NormalWeb"/>
        <w:shd w:val="clear" w:color="auto" w:fill="FFFFFF"/>
        <w:spacing w:before="40" w:beforeAutospacing="0" w:after="40" w:afterAutospacing="0"/>
        <w:rPr>
          <w:rFonts w:asciiTheme="minorHAnsi" w:hAnsiTheme="minorHAnsi" w:cstheme="minorHAnsi"/>
          <w:b/>
          <w:bCs/>
        </w:rPr>
      </w:pPr>
      <w:r w:rsidRPr="00A37BCD">
        <w:rPr>
          <w:rFonts w:asciiTheme="minorHAnsi" w:hAnsiTheme="minorHAnsi" w:cstheme="minorHAnsi"/>
          <w:b/>
          <w:bCs/>
        </w:rPr>
        <w:t>SW-03. Contract substitution through abuses of the In-Principle Approval for Work Permit</w:t>
      </w:r>
    </w:p>
    <w:p w14:paraId="5FC6B875"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433D97FD" w14:textId="02A87E54"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2.03.1</w:t>
      </w:r>
      <w:r>
        <w:rPr>
          <w:rFonts w:asciiTheme="minorHAnsi" w:hAnsiTheme="minorHAnsi" w:cstheme="minorHAnsi"/>
          <w:sz w:val="22"/>
          <w:szCs w:val="22"/>
        </w:rPr>
        <w:tab/>
      </w:r>
      <w:r w:rsidR="00631DA9" w:rsidRPr="003D084A">
        <w:rPr>
          <w:rFonts w:asciiTheme="minorHAnsi" w:hAnsiTheme="minorHAnsi" w:cstheme="minorHAnsi"/>
          <w:sz w:val="22"/>
          <w:szCs w:val="22"/>
        </w:rPr>
        <w:t xml:space="preserve">Since 2018, HOME and TWC2 have observed a growing trend of cases which we term “IPA substitution” and which is analogous to contract substitution.  The In-Principle Approval (IPA) is an official document generated by the government upon approval of an employer’s or licensed recruitment agency’s application for a work pass for a foreigner.  Whilst the document serves as a visa entry to Singapore, it also contains crucial information on basic terms of employment, such as salary, allowances and </w:t>
      </w:r>
      <w:r w:rsidR="00A37BCD">
        <w:rPr>
          <w:rFonts w:asciiTheme="minorHAnsi" w:hAnsiTheme="minorHAnsi" w:cstheme="minorHAnsi"/>
          <w:sz w:val="22"/>
          <w:szCs w:val="22"/>
        </w:rPr>
        <w:t>deductions</w:t>
      </w:r>
      <w:r w:rsidR="00631DA9" w:rsidRPr="003D084A">
        <w:rPr>
          <w:rFonts w:asciiTheme="minorHAnsi" w:hAnsiTheme="minorHAnsi" w:cstheme="minorHAnsi"/>
          <w:sz w:val="22"/>
          <w:szCs w:val="22"/>
        </w:rPr>
        <w:t xml:space="preserve">, and case law has established that in the absence of other </w:t>
      </w:r>
      <w:r w:rsidR="00A37BCD">
        <w:rPr>
          <w:rFonts w:asciiTheme="minorHAnsi" w:hAnsiTheme="minorHAnsi" w:cstheme="minorHAnsi"/>
          <w:sz w:val="22"/>
          <w:szCs w:val="22"/>
        </w:rPr>
        <w:t xml:space="preserve">contract </w:t>
      </w:r>
      <w:r w:rsidR="00631DA9" w:rsidRPr="003D084A">
        <w:rPr>
          <w:rFonts w:asciiTheme="minorHAnsi" w:hAnsiTheme="minorHAnsi" w:cstheme="minorHAnsi"/>
          <w:sz w:val="22"/>
          <w:szCs w:val="22"/>
        </w:rPr>
        <w:t>document</w:t>
      </w:r>
      <w:r w:rsidR="00A37BCD">
        <w:rPr>
          <w:rFonts w:asciiTheme="minorHAnsi" w:hAnsiTheme="minorHAnsi" w:cstheme="minorHAnsi"/>
          <w:sz w:val="22"/>
          <w:szCs w:val="22"/>
        </w:rPr>
        <w:t>s</w:t>
      </w:r>
      <w:r w:rsidR="00631DA9" w:rsidRPr="003D084A">
        <w:rPr>
          <w:rFonts w:asciiTheme="minorHAnsi" w:hAnsiTheme="minorHAnsi" w:cstheme="minorHAnsi"/>
          <w:sz w:val="22"/>
          <w:szCs w:val="22"/>
        </w:rPr>
        <w:t xml:space="preserve">, the </w:t>
      </w:r>
      <w:r w:rsidR="00A37BCD">
        <w:rPr>
          <w:rFonts w:asciiTheme="minorHAnsi" w:hAnsiTheme="minorHAnsi" w:cstheme="minorHAnsi"/>
          <w:sz w:val="22"/>
          <w:szCs w:val="22"/>
        </w:rPr>
        <w:t>IPA details are capable of evidencing the terms of employment</w:t>
      </w:r>
      <w:r w:rsidR="00631DA9" w:rsidRPr="003D084A">
        <w:rPr>
          <w:rStyle w:val="EndnoteReference"/>
          <w:rFonts w:asciiTheme="minorHAnsi" w:hAnsiTheme="minorHAnsi" w:cstheme="minorHAnsi"/>
          <w:sz w:val="22"/>
          <w:szCs w:val="22"/>
        </w:rPr>
        <w:endnoteReference w:id="10"/>
      </w:r>
      <w:r w:rsidR="00631DA9" w:rsidRPr="003D084A">
        <w:rPr>
          <w:rFonts w:asciiTheme="minorHAnsi" w:hAnsiTheme="minorHAnsi" w:cstheme="minorHAnsi"/>
          <w:sz w:val="22"/>
          <w:szCs w:val="22"/>
          <w:vertAlign w:val="superscript"/>
        </w:rPr>
        <w:t>,</w:t>
      </w:r>
      <w:r w:rsidR="00FB3204">
        <w:rPr>
          <w:rFonts w:asciiTheme="minorHAnsi" w:hAnsiTheme="minorHAnsi" w:cstheme="minorHAnsi"/>
          <w:sz w:val="22"/>
          <w:szCs w:val="22"/>
          <w:vertAlign w:val="superscript"/>
        </w:rPr>
        <w:t xml:space="preserve"> </w:t>
      </w:r>
      <w:r w:rsidR="00631DA9" w:rsidRPr="003D084A">
        <w:rPr>
          <w:rStyle w:val="EndnoteReference"/>
          <w:rFonts w:asciiTheme="minorHAnsi" w:hAnsiTheme="minorHAnsi" w:cstheme="minorHAnsi"/>
          <w:sz w:val="22"/>
          <w:szCs w:val="22"/>
        </w:rPr>
        <w:endnoteReference w:id="11"/>
      </w:r>
      <w:r w:rsidR="00631DA9" w:rsidRPr="003D084A">
        <w:rPr>
          <w:rFonts w:asciiTheme="minorHAnsi" w:hAnsiTheme="minorHAnsi" w:cstheme="minorHAnsi"/>
          <w:sz w:val="22"/>
          <w:szCs w:val="22"/>
        </w:rPr>
        <w:t>.</w:t>
      </w:r>
    </w:p>
    <w:p w14:paraId="2AB03B12"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2CFC94B6" w14:textId="45D6EB32"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2.03.2</w:t>
      </w:r>
      <w:r>
        <w:rPr>
          <w:rFonts w:asciiTheme="minorHAnsi" w:hAnsiTheme="minorHAnsi" w:cstheme="minorHAnsi"/>
          <w:sz w:val="22"/>
          <w:szCs w:val="22"/>
        </w:rPr>
        <w:tab/>
      </w:r>
      <w:r w:rsidR="00631DA9" w:rsidRPr="003D084A">
        <w:rPr>
          <w:rFonts w:asciiTheme="minorHAnsi" w:hAnsiTheme="minorHAnsi" w:cstheme="minorHAnsi"/>
          <w:sz w:val="22"/>
          <w:szCs w:val="22"/>
        </w:rPr>
        <w:t xml:space="preserve">The worker has no role to play, nor any visibility into the IPA application process. Instead, it is the responsibility of the employer to provide the worker with a copy of the IPA before he commences employment. Workers have often reported being surprised at the way the salary terms stated in the IPA differ from terms verbally indicated to them when being recruited. </w:t>
      </w:r>
    </w:p>
    <w:p w14:paraId="6109A5D8"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70E1CEC0" w14:textId="27FD2232"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2.03.3</w:t>
      </w:r>
      <w:r>
        <w:rPr>
          <w:rFonts w:asciiTheme="minorHAnsi" w:hAnsiTheme="minorHAnsi" w:cstheme="minorHAnsi"/>
          <w:sz w:val="22"/>
          <w:szCs w:val="22"/>
        </w:rPr>
        <w:tab/>
      </w:r>
      <w:r w:rsidR="00631DA9" w:rsidRPr="003D084A">
        <w:rPr>
          <w:rFonts w:asciiTheme="minorHAnsi" w:hAnsiTheme="minorHAnsi" w:cstheme="minorHAnsi"/>
          <w:sz w:val="22"/>
          <w:szCs w:val="22"/>
        </w:rPr>
        <w:t>The reasons why they may differ are threefold</w:t>
      </w:r>
      <w:r w:rsidR="003D7FAA">
        <w:rPr>
          <w:rFonts w:asciiTheme="minorHAnsi" w:hAnsiTheme="minorHAnsi" w:cstheme="minorHAnsi"/>
          <w:sz w:val="22"/>
          <w:szCs w:val="22"/>
        </w:rPr>
        <w:t>:</w:t>
      </w:r>
    </w:p>
    <w:p w14:paraId="1C5340B3"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21C58447" w14:textId="40E5D830" w:rsidR="00631DA9" w:rsidRDefault="00D42640" w:rsidP="009505D2">
      <w:pPr>
        <w:pStyle w:val="NormalWeb"/>
        <w:shd w:val="clear" w:color="auto" w:fill="FFFFFF"/>
        <w:spacing w:before="40" w:beforeAutospacing="0" w:after="40" w:afterAutospacing="0"/>
        <w:ind w:left="907"/>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631DA9" w:rsidRPr="003D084A">
        <w:rPr>
          <w:rFonts w:asciiTheme="minorHAnsi" w:hAnsiTheme="minorHAnsi" w:cstheme="minorHAnsi"/>
          <w:sz w:val="22"/>
          <w:szCs w:val="22"/>
        </w:rPr>
        <w:t xml:space="preserve"> The employer simply does not furnish a copy of the issued IPA to the worker</w:t>
      </w:r>
      <w:r w:rsidR="00631DA9">
        <w:rPr>
          <w:rStyle w:val="EndnoteReference"/>
          <w:rFonts w:asciiTheme="minorHAnsi" w:hAnsiTheme="minorHAnsi" w:cstheme="minorHAnsi"/>
          <w:sz w:val="22"/>
          <w:szCs w:val="22"/>
        </w:rPr>
        <w:endnoteReference w:id="12"/>
      </w:r>
      <w:r w:rsidR="00631DA9" w:rsidRPr="003D084A">
        <w:rPr>
          <w:rFonts w:asciiTheme="minorHAnsi" w:hAnsiTheme="minorHAnsi" w:cstheme="minorHAnsi"/>
          <w:sz w:val="22"/>
          <w:szCs w:val="22"/>
        </w:rPr>
        <w:t xml:space="preserve">. This commonly happens when the worker is already in Singapore and does not need to present the IPA as a visa-surrogate at border entry. By not being given a copy of the IPA, the worker is left unaware that the salary terms declared by the employer and </w:t>
      </w:r>
      <w:r w:rsidR="00A37BCD">
        <w:rPr>
          <w:rFonts w:asciiTheme="minorHAnsi" w:hAnsiTheme="minorHAnsi" w:cstheme="minorHAnsi"/>
          <w:sz w:val="22"/>
          <w:szCs w:val="22"/>
        </w:rPr>
        <w:t>registered with the government</w:t>
      </w:r>
      <w:r w:rsidR="00631DA9" w:rsidRPr="003D084A">
        <w:rPr>
          <w:rFonts w:asciiTheme="minorHAnsi" w:hAnsiTheme="minorHAnsi" w:cstheme="minorHAnsi"/>
          <w:sz w:val="22"/>
          <w:szCs w:val="22"/>
        </w:rPr>
        <w:t xml:space="preserve"> may be different from what he believes was agreed prior to employment.</w:t>
      </w:r>
    </w:p>
    <w:p w14:paraId="4CA37604" w14:textId="77777777" w:rsidR="009505D2" w:rsidRPr="003D084A" w:rsidRDefault="009505D2" w:rsidP="009505D2">
      <w:pPr>
        <w:pStyle w:val="NormalWeb"/>
        <w:shd w:val="clear" w:color="auto" w:fill="FFFFFF"/>
        <w:spacing w:before="40" w:beforeAutospacing="0" w:after="40" w:afterAutospacing="0"/>
        <w:ind w:left="907"/>
        <w:rPr>
          <w:rFonts w:asciiTheme="minorHAnsi" w:hAnsiTheme="minorHAnsi" w:cstheme="minorHAnsi"/>
          <w:sz w:val="22"/>
          <w:szCs w:val="22"/>
        </w:rPr>
      </w:pPr>
    </w:p>
    <w:p w14:paraId="31705A41" w14:textId="418C2CAE" w:rsidR="00631DA9" w:rsidRDefault="00D42640" w:rsidP="009505D2">
      <w:pPr>
        <w:pStyle w:val="NormalWeb"/>
        <w:shd w:val="clear" w:color="auto" w:fill="FFFFFF"/>
        <w:spacing w:before="40" w:beforeAutospacing="0" w:after="40" w:afterAutospacing="0"/>
        <w:ind w:left="90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631DA9" w:rsidRPr="003D084A">
        <w:rPr>
          <w:rFonts w:asciiTheme="minorHAnsi" w:hAnsiTheme="minorHAnsi" w:cstheme="minorHAnsi"/>
          <w:sz w:val="22"/>
          <w:szCs w:val="22"/>
        </w:rPr>
        <w:t>The employer illegally modifies the salary information on the IPA before he gives a copy to the worker</w:t>
      </w:r>
      <w:r w:rsidR="00FB3204" w:rsidRPr="00FB3204">
        <w:rPr>
          <w:rStyle w:val="EndnoteReference"/>
          <w:rFonts w:asciiTheme="minorHAnsi" w:hAnsiTheme="minorHAnsi" w:cstheme="minorHAnsi"/>
          <w:sz w:val="22"/>
          <w:szCs w:val="22"/>
        </w:rPr>
        <w:endnoteReference w:id="13"/>
      </w:r>
      <w:r w:rsidR="00FB3204" w:rsidRPr="00FB3204">
        <w:rPr>
          <w:rFonts w:asciiTheme="minorHAnsi" w:hAnsiTheme="minorHAnsi" w:cstheme="minorHAnsi"/>
          <w:sz w:val="22"/>
          <w:szCs w:val="22"/>
          <w:vertAlign w:val="superscript"/>
        </w:rPr>
        <w:t xml:space="preserve">, </w:t>
      </w:r>
      <w:r w:rsidR="00631DA9" w:rsidRPr="00FB3204">
        <w:rPr>
          <w:rStyle w:val="EndnoteReference"/>
          <w:rFonts w:asciiTheme="minorHAnsi" w:hAnsiTheme="minorHAnsi" w:cstheme="minorHAnsi"/>
          <w:sz w:val="22"/>
          <w:szCs w:val="22"/>
        </w:rPr>
        <w:endnoteReference w:id="14"/>
      </w:r>
      <w:r w:rsidR="00631DA9" w:rsidRPr="003D084A">
        <w:rPr>
          <w:rFonts w:asciiTheme="minorHAnsi" w:hAnsiTheme="minorHAnsi" w:cstheme="minorHAnsi"/>
          <w:sz w:val="22"/>
          <w:szCs w:val="22"/>
        </w:rPr>
        <w:t xml:space="preserve">. The worker is thus left to believe that he will be paid a salary different from that which had been declared by the employer to the government during the IPA application process. </w:t>
      </w:r>
    </w:p>
    <w:p w14:paraId="506BD3F9" w14:textId="77777777" w:rsidR="009505D2" w:rsidRPr="003D084A" w:rsidRDefault="009505D2" w:rsidP="009505D2">
      <w:pPr>
        <w:pStyle w:val="NormalWeb"/>
        <w:shd w:val="clear" w:color="auto" w:fill="FFFFFF"/>
        <w:spacing w:before="40" w:beforeAutospacing="0" w:after="40" w:afterAutospacing="0"/>
        <w:ind w:left="907"/>
        <w:rPr>
          <w:rFonts w:asciiTheme="minorHAnsi" w:hAnsiTheme="minorHAnsi" w:cstheme="minorHAnsi"/>
          <w:sz w:val="22"/>
          <w:szCs w:val="22"/>
        </w:rPr>
      </w:pPr>
    </w:p>
    <w:p w14:paraId="3E434DE0" w14:textId="2BB31C68" w:rsidR="00631DA9" w:rsidRDefault="00D42640" w:rsidP="009505D2">
      <w:pPr>
        <w:pStyle w:val="NormalWeb"/>
        <w:shd w:val="clear" w:color="auto" w:fill="FFFFFF"/>
        <w:spacing w:before="40" w:beforeAutospacing="0" w:after="40" w:afterAutospacing="0"/>
        <w:ind w:left="907"/>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D7FAA">
        <w:rPr>
          <w:rFonts w:asciiTheme="minorHAnsi" w:hAnsiTheme="minorHAnsi" w:cstheme="minorHAnsi"/>
          <w:sz w:val="22"/>
          <w:szCs w:val="22"/>
        </w:rPr>
        <w:t>A</w:t>
      </w:r>
      <w:r w:rsidR="00631DA9" w:rsidRPr="003D084A">
        <w:rPr>
          <w:rFonts w:asciiTheme="minorHAnsi" w:hAnsiTheme="minorHAnsi" w:cstheme="minorHAnsi"/>
          <w:sz w:val="22"/>
          <w:szCs w:val="22"/>
        </w:rPr>
        <w:t xml:space="preserve">fter the worker has commenced employment, the employer informs the government that the salary had been reduced by mutual agreement between employer and employee. The revised salary terms are then </w:t>
      </w:r>
      <w:r w:rsidR="00A37BCD">
        <w:rPr>
          <w:rFonts w:asciiTheme="minorHAnsi" w:hAnsiTheme="minorHAnsi" w:cstheme="minorHAnsi"/>
          <w:sz w:val="22"/>
          <w:szCs w:val="22"/>
        </w:rPr>
        <w:t>notified to the government</w:t>
      </w:r>
      <w:r w:rsidR="003D7FAA">
        <w:rPr>
          <w:rFonts w:asciiTheme="minorHAnsi" w:hAnsiTheme="minorHAnsi" w:cstheme="minorHAnsi"/>
          <w:sz w:val="22"/>
          <w:szCs w:val="22"/>
        </w:rPr>
        <w:t xml:space="preserve"> for the record</w:t>
      </w:r>
      <w:r w:rsidR="00A37BCD">
        <w:rPr>
          <w:rFonts w:asciiTheme="minorHAnsi" w:hAnsiTheme="minorHAnsi" w:cstheme="minorHAnsi"/>
          <w:sz w:val="22"/>
          <w:szCs w:val="22"/>
        </w:rPr>
        <w:t>.</w:t>
      </w:r>
      <w:r w:rsidR="00631DA9" w:rsidRPr="003D084A">
        <w:rPr>
          <w:rFonts w:asciiTheme="minorHAnsi" w:hAnsiTheme="minorHAnsi" w:cstheme="minorHAnsi"/>
          <w:sz w:val="22"/>
          <w:szCs w:val="22"/>
        </w:rPr>
        <w:t xml:space="preserve"> HOME and TWC2 have received many reports from workers</w:t>
      </w:r>
      <w:r w:rsidR="00631DA9">
        <w:rPr>
          <w:rStyle w:val="EndnoteReference"/>
          <w:rFonts w:asciiTheme="minorHAnsi" w:hAnsiTheme="minorHAnsi" w:cstheme="minorHAnsi"/>
          <w:sz w:val="22"/>
          <w:szCs w:val="22"/>
        </w:rPr>
        <w:endnoteReference w:id="15"/>
      </w:r>
      <w:r w:rsidR="008E46D1">
        <w:rPr>
          <w:rFonts w:asciiTheme="minorHAnsi" w:hAnsiTheme="minorHAnsi" w:cstheme="minorHAnsi"/>
          <w:sz w:val="22"/>
          <w:szCs w:val="22"/>
        </w:rPr>
        <w:t xml:space="preserve">, </w:t>
      </w:r>
      <w:r w:rsidR="008E46D1">
        <w:rPr>
          <w:rStyle w:val="EndnoteReference"/>
          <w:rFonts w:asciiTheme="minorHAnsi" w:hAnsiTheme="minorHAnsi" w:cstheme="minorHAnsi"/>
          <w:sz w:val="22"/>
          <w:szCs w:val="22"/>
        </w:rPr>
        <w:endnoteReference w:id="16"/>
      </w:r>
      <w:r w:rsidR="00631DA9" w:rsidRPr="003D084A">
        <w:rPr>
          <w:rFonts w:asciiTheme="minorHAnsi" w:hAnsiTheme="minorHAnsi" w:cstheme="minorHAnsi"/>
          <w:sz w:val="22"/>
          <w:szCs w:val="22"/>
        </w:rPr>
        <w:t xml:space="preserve"> that they had no idea at all that their employers had submitted amended salar</w:t>
      </w:r>
      <w:r w:rsidR="00A37BCD">
        <w:rPr>
          <w:rFonts w:asciiTheme="minorHAnsi" w:hAnsiTheme="minorHAnsi" w:cstheme="minorHAnsi"/>
          <w:sz w:val="22"/>
          <w:szCs w:val="22"/>
        </w:rPr>
        <w:t>y details</w:t>
      </w:r>
      <w:r w:rsidR="00EC1747">
        <w:rPr>
          <w:rFonts w:asciiTheme="minorHAnsi" w:hAnsiTheme="minorHAnsi" w:cstheme="minorHAnsi"/>
          <w:sz w:val="22"/>
          <w:szCs w:val="22"/>
        </w:rPr>
        <w:t xml:space="preserve"> to the government</w:t>
      </w:r>
      <w:r w:rsidR="00631DA9" w:rsidRPr="003D084A">
        <w:rPr>
          <w:rFonts w:asciiTheme="minorHAnsi" w:hAnsiTheme="minorHAnsi" w:cstheme="minorHAnsi"/>
          <w:sz w:val="22"/>
          <w:szCs w:val="22"/>
        </w:rPr>
        <w:t>.</w:t>
      </w:r>
    </w:p>
    <w:p w14:paraId="1ACF245A" w14:textId="77777777" w:rsidR="009505D2" w:rsidRDefault="009505D2" w:rsidP="009505D2">
      <w:pPr>
        <w:pStyle w:val="NormalWeb"/>
        <w:shd w:val="clear" w:color="auto" w:fill="FFFFFF"/>
        <w:spacing w:before="40" w:beforeAutospacing="0" w:after="40" w:afterAutospacing="0"/>
        <w:ind w:left="907"/>
        <w:rPr>
          <w:rFonts w:asciiTheme="minorHAnsi" w:hAnsiTheme="minorHAnsi" w:cstheme="minorHAnsi"/>
          <w:sz w:val="22"/>
          <w:szCs w:val="22"/>
        </w:rPr>
      </w:pPr>
    </w:p>
    <w:p w14:paraId="61AA4480" w14:textId="3EF5145C"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2.03.4</w:t>
      </w:r>
      <w:r>
        <w:rPr>
          <w:rFonts w:asciiTheme="minorHAnsi" w:hAnsiTheme="minorHAnsi" w:cstheme="minorHAnsi"/>
          <w:sz w:val="22"/>
          <w:szCs w:val="22"/>
        </w:rPr>
        <w:tab/>
      </w:r>
      <w:r w:rsidR="00631DA9" w:rsidRPr="003D084A">
        <w:rPr>
          <w:rFonts w:asciiTheme="minorHAnsi" w:hAnsiTheme="minorHAnsi" w:cstheme="minorHAnsi"/>
          <w:sz w:val="22"/>
          <w:szCs w:val="22"/>
        </w:rPr>
        <w:t>The Work Pass application and modification system as designed by the Singapore government allows</w:t>
      </w:r>
      <w:r>
        <w:rPr>
          <w:rFonts w:asciiTheme="minorHAnsi" w:hAnsiTheme="minorHAnsi" w:cstheme="minorHAnsi"/>
          <w:sz w:val="22"/>
          <w:szCs w:val="22"/>
        </w:rPr>
        <w:t xml:space="preserve"> (a), (b) and (c)</w:t>
      </w:r>
      <w:r w:rsidR="00631DA9" w:rsidRPr="003D084A">
        <w:rPr>
          <w:rFonts w:asciiTheme="minorHAnsi" w:hAnsiTheme="minorHAnsi" w:cstheme="minorHAnsi"/>
          <w:sz w:val="22"/>
          <w:szCs w:val="22"/>
        </w:rPr>
        <w:t xml:space="preserve"> above to occur by dint of the fact that the government does not obtain the worker’s consent when receiving and processing applications or salary modifications. Nor does the worker even have a way to see what application has been submitted in his or her name.</w:t>
      </w:r>
      <w:r>
        <w:rPr>
          <w:rFonts w:asciiTheme="minorHAnsi" w:hAnsiTheme="minorHAnsi" w:cstheme="minorHAnsi"/>
          <w:sz w:val="22"/>
          <w:szCs w:val="22"/>
        </w:rPr>
        <w:t xml:space="preserve"> </w:t>
      </w:r>
      <w:r w:rsidR="00631DA9" w:rsidRPr="003D084A">
        <w:rPr>
          <w:rFonts w:asciiTheme="minorHAnsi" w:hAnsiTheme="minorHAnsi" w:cstheme="minorHAnsi"/>
          <w:sz w:val="22"/>
          <w:szCs w:val="22"/>
        </w:rPr>
        <w:t xml:space="preserve">The effect of </w:t>
      </w:r>
      <w:r>
        <w:rPr>
          <w:rFonts w:asciiTheme="minorHAnsi" w:hAnsiTheme="minorHAnsi" w:cstheme="minorHAnsi"/>
          <w:sz w:val="22"/>
          <w:szCs w:val="22"/>
        </w:rPr>
        <w:t>(a), (b), and (c)</w:t>
      </w:r>
      <w:r w:rsidR="00631DA9" w:rsidRPr="003D084A">
        <w:rPr>
          <w:rFonts w:asciiTheme="minorHAnsi" w:hAnsiTheme="minorHAnsi" w:cstheme="minorHAnsi"/>
          <w:sz w:val="22"/>
          <w:szCs w:val="22"/>
        </w:rPr>
        <w:t xml:space="preserve"> is that when an employer later fails to pay salary and the worker files a claim, the </w:t>
      </w:r>
      <w:r w:rsidR="00CD3D60">
        <w:rPr>
          <w:rFonts w:asciiTheme="minorHAnsi" w:hAnsiTheme="minorHAnsi" w:cstheme="minorHAnsi"/>
          <w:sz w:val="22"/>
          <w:szCs w:val="22"/>
        </w:rPr>
        <w:t>reference</w:t>
      </w:r>
      <w:r w:rsidR="00631DA9" w:rsidRPr="003D084A">
        <w:rPr>
          <w:rFonts w:asciiTheme="minorHAnsi" w:hAnsiTheme="minorHAnsi" w:cstheme="minorHAnsi"/>
          <w:sz w:val="22"/>
          <w:szCs w:val="22"/>
        </w:rPr>
        <w:t xml:space="preserve"> for adjudication </w:t>
      </w:r>
      <w:r w:rsidR="00A37BCD">
        <w:rPr>
          <w:rFonts w:asciiTheme="minorHAnsi" w:hAnsiTheme="minorHAnsi" w:cstheme="minorHAnsi"/>
          <w:sz w:val="22"/>
          <w:szCs w:val="22"/>
        </w:rPr>
        <w:t>is often the</w:t>
      </w:r>
      <w:r w:rsidR="00631DA9" w:rsidRPr="003D084A">
        <w:rPr>
          <w:rFonts w:asciiTheme="minorHAnsi" w:hAnsiTheme="minorHAnsi" w:cstheme="minorHAnsi"/>
          <w:sz w:val="22"/>
          <w:szCs w:val="22"/>
        </w:rPr>
        <w:t xml:space="preserve"> salary recorded in the government’s </w:t>
      </w:r>
      <w:r w:rsidR="00EC1747">
        <w:rPr>
          <w:rFonts w:asciiTheme="minorHAnsi" w:hAnsiTheme="minorHAnsi" w:cstheme="minorHAnsi"/>
          <w:sz w:val="22"/>
          <w:szCs w:val="22"/>
        </w:rPr>
        <w:t>Work Pass system</w:t>
      </w:r>
      <w:r w:rsidR="00631DA9" w:rsidRPr="003D084A">
        <w:rPr>
          <w:rFonts w:asciiTheme="minorHAnsi" w:hAnsiTheme="minorHAnsi" w:cstheme="minorHAnsi"/>
          <w:sz w:val="22"/>
          <w:szCs w:val="22"/>
        </w:rPr>
        <w:t xml:space="preserve"> to which the worker had ne</w:t>
      </w:r>
      <w:r w:rsidR="00A37BCD">
        <w:rPr>
          <w:rFonts w:asciiTheme="minorHAnsi" w:hAnsiTheme="minorHAnsi" w:cstheme="minorHAnsi"/>
          <w:sz w:val="22"/>
          <w:szCs w:val="22"/>
        </w:rPr>
        <w:t>i</w:t>
      </w:r>
      <w:r w:rsidR="00631DA9" w:rsidRPr="003D084A">
        <w:rPr>
          <w:rFonts w:asciiTheme="minorHAnsi" w:hAnsiTheme="minorHAnsi" w:cstheme="minorHAnsi"/>
          <w:sz w:val="22"/>
          <w:szCs w:val="22"/>
        </w:rPr>
        <w:t xml:space="preserve">ther known or consented to. </w:t>
      </w:r>
    </w:p>
    <w:p w14:paraId="30FEAED7"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5C12C6D4" w14:textId="2CFEDD2F"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lastRenderedPageBreak/>
        <w:t>2.03.5</w:t>
      </w:r>
      <w:r>
        <w:rPr>
          <w:rFonts w:asciiTheme="minorHAnsi" w:hAnsiTheme="minorHAnsi" w:cstheme="minorHAnsi"/>
          <w:sz w:val="22"/>
          <w:szCs w:val="22"/>
        </w:rPr>
        <w:tab/>
      </w:r>
      <w:r w:rsidR="00EC1747">
        <w:rPr>
          <w:rFonts w:asciiTheme="minorHAnsi" w:hAnsiTheme="minorHAnsi" w:cstheme="minorHAnsi"/>
          <w:sz w:val="22"/>
          <w:szCs w:val="22"/>
        </w:rPr>
        <w:t>Re</w:t>
      </w:r>
      <w:r w:rsidR="00631DA9" w:rsidRPr="003D084A">
        <w:rPr>
          <w:rFonts w:asciiTheme="minorHAnsi" w:hAnsiTheme="minorHAnsi" w:cstheme="minorHAnsi"/>
          <w:sz w:val="22"/>
          <w:szCs w:val="22"/>
        </w:rPr>
        <w:t xml:space="preserve"> </w:t>
      </w:r>
      <w:r>
        <w:rPr>
          <w:rFonts w:asciiTheme="minorHAnsi" w:hAnsiTheme="minorHAnsi" w:cstheme="minorHAnsi"/>
          <w:sz w:val="22"/>
          <w:szCs w:val="22"/>
        </w:rPr>
        <w:t>(c)</w:t>
      </w:r>
      <w:r w:rsidR="00631DA9" w:rsidRPr="003D084A">
        <w:rPr>
          <w:rFonts w:asciiTheme="minorHAnsi" w:hAnsiTheme="minorHAnsi" w:cstheme="minorHAnsi"/>
          <w:sz w:val="22"/>
          <w:szCs w:val="22"/>
        </w:rPr>
        <w:t>, HOME and TWC2 have encountered cases where employers produce written agreements bearing workers’ signatures, arguing that these documents prove workers’ consent to reduced salaries. Workers often say they had been intimidated into signing blank pieces of paper, and in the light of the unequal bargaining power between migrant workers and employers, such situations are entirely plausible.</w:t>
      </w:r>
    </w:p>
    <w:p w14:paraId="48781290" w14:textId="77777777" w:rsidR="003D7FAA" w:rsidRDefault="003D7FAA" w:rsidP="009505D2">
      <w:pPr>
        <w:pStyle w:val="NormalWeb"/>
        <w:shd w:val="clear" w:color="auto" w:fill="FFFFFF"/>
        <w:spacing w:before="40" w:beforeAutospacing="0" w:after="40" w:afterAutospacing="0"/>
        <w:rPr>
          <w:rFonts w:asciiTheme="minorHAnsi" w:hAnsiTheme="minorHAnsi" w:cstheme="minorHAnsi"/>
          <w:sz w:val="22"/>
          <w:szCs w:val="22"/>
        </w:rPr>
      </w:pPr>
    </w:p>
    <w:p w14:paraId="5762952C" w14:textId="7082863D"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2.03.6</w:t>
      </w:r>
      <w:r>
        <w:rPr>
          <w:rFonts w:asciiTheme="minorHAnsi" w:hAnsiTheme="minorHAnsi" w:cstheme="minorHAnsi"/>
          <w:sz w:val="22"/>
          <w:szCs w:val="22"/>
        </w:rPr>
        <w:tab/>
      </w:r>
      <w:r w:rsidR="00631DA9">
        <w:rPr>
          <w:rFonts w:asciiTheme="minorHAnsi" w:hAnsiTheme="minorHAnsi" w:cstheme="minorHAnsi"/>
          <w:sz w:val="22"/>
          <w:szCs w:val="22"/>
        </w:rPr>
        <w:t>On 9 July 2018, the Minister for Manpower told parliament that her ministry was “</w:t>
      </w:r>
      <w:r w:rsidR="00631DA9" w:rsidRPr="003D084A">
        <w:rPr>
          <w:rFonts w:asciiTheme="minorHAnsi" w:hAnsiTheme="minorHAnsi" w:cstheme="minorHAnsi"/>
          <w:sz w:val="22"/>
          <w:szCs w:val="22"/>
        </w:rPr>
        <w:t>considering the possibility of disallowing downward salary revisions altogether.</w:t>
      </w:r>
      <w:r w:rsidR="00631DA9">
        <w:rPr>
          <w:rFonts w:asciiTheme="minorHAnsi" w:hAnsiTheme="minorHAnsi" w:cstheme="minorHAnsi"/>
          <w:sz w:val="22"/>
          <w:szCs w:val="22"/>
        </w:rPr>
        <w:t>”</w:t>
      </w:r>
      <w:r w:rsidR="00631DA9">
        <w:rPr>
          <w:rStyle w:val="EndnoteReference"/>
          <w:rFonts w:asciiTheme="minorHAnsi" w:hAnsiTheme="minorHAnsi" w:cstheme="minorHAnsi"/>
          <w:sz w:val="22"/>
          <w:szCs w:val="22"/>
        </w:rPr>
        <w:endnoteReference w:id="17"/>
      </w:r>
      <w:r w:rsidR="00631DA9">
        <w:rPr>
          <w:rFonts w:asciiTheme="minorHAnsi" w:hAnsiTheme="minorHAnsi" w:cstheme="minorHAnsi"/>
          <w:sz w:val="22"/>
          <w:szCs w:val="22"/>
        </w:rPr>
        <w:t xml:space="preserve"> This has not been </w:t>
      </w:r>
      <w:proofErr w:type="gramStart"/>
      <w:r w:rsidR="00631DA9">
        <w:rPr>
          <w:rFonts w:asciiTheme="minorHAnsi" w:hAnsiTheme="minorHAnsi" w:cstheme="minorHAnsi"/>
          <w:sz w:val="22"/>
          <w:szCs w:val="22"/>
        </w:rPr>
        <w:t>effect</w:t>
      </w:r>
      <w:r w:rsidR="00CD3D60">
        <w:rPr>
          <w:rFonts w:asciiTheme="minorHAnsi" w:hAnsiTheme="minorHAnsi" w:cstheme="minorHAnsi"/>
          <w:sz w:val="22"/>
          <w:szCs w:val="22"/>
        </w:rPr>
        <w:t>ed</w:t>
      </w:r>
      <w:proofErr w:type="gramEnd"/>
      <w:r w:rsidR="00631DA9">
        <w:rPr>
          <w:rFonts w:asciiTheme="minorHAnsi" w:hAnsiTheme="minorHAnsi" w:cstheme="minorHAnsi"/>
          <w:sz w:val="22"/>
          <w:szCs w:val="22"/>
        </w:rPr>
        <w:t xml:space="preserve"> through any change in legislation</w:t>
      </w:r>
      <w:r w:rsidR="003D7FAA">
        <w:rPr>
          <w:rFonts w:asciiTheme="minorHAnsi" w:hAnsiTheme="minorHAnsi" w:cstheme="minorHAnsi"/>
          <w:sz w:val="22"/>
          <w:szCs w:val="22"/>
        </w:rPr>
        <w:t>.</w:t>
      </w:r>
    </w:p>
    <w:p w14:paraId="7C1859DC"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7C0190DF" w14:textId="4D3C3632" w:rsidR="00631DA9" w:rsidRDefault="00D42640"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2.03.7</w:t>
      </w:r>
      <w:r>
        <w:rPr>
          <w:rFonts w:asciiTheme="minorHAnsi" w:hAnsiTheme="minorHAnsi" w:cstheme="minorHAnsi"/>
          <w:sz w:val="22"/>
          <w:szCs w:val="22"/>
        </w:rPr>
        <w:tab/>
      </w:r>
      <w:r w:rsidR="00631DA9" w:rsidRPr="003D084A">
        <w:rPr>
          <w:rFonts w:asciiTheme="minorHAnsi" w:hAnsiTheme="minorHAnsi" w:cstheme="minorHAnsi"/>
          <w:sz w:val="22"/>
          <w:szCs w:val="22"/>
        </w:rPr>
        <w:t xml:space="preserve">Whilst the IPA was originally intended to provide a degree of protection to migrant workers by having their salary terms documented, the irony is that by failing to give workers themselves access to the application and modification processes, the very same official instrument has been used against them.  </w:t>
      </w:r>
    </w:p>
    <w:p w14:paraId="19F7FDF3"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20AD3137" w14:textId="2F45C952" w:rsidR="00631DA9" w:rsidRDefault="00631DA9" w:rsidP="009505D2">
      <w:pPr>
        <w:spacing w:before="40" w:after="40" w:line="240" w:lineRule="auto"/>
        <w:rPr>
          <w:color w:val="000000"/>
          <w:lang w:eastAsia="en-GB"/>
        </w:rPr>
      </w:pPr>
    </w:p>
    <w:p w14:paraId="3CC7A50E" w14:textId="0909EC15" w:rsidR="00631DA9" w:rsidRPr="00CD3D60" w:rsidRDefault="00631DA9" w:rsidP="009505D2">
      <w:pPr>
        <w:spacing w:before="40" w:after="40" w:line="240" w:lineRule="auto"/>
        <w:rPr>
          <w:b/>
          <w:bCs/>
          <w:color w:val="000000"/>
          <w:sz w:val="24"/>
          <w:szCs w:val="24"/>
          <w:lang w:eastAsia="en-GB"/>
        </w:rPr>
      </w:pPr>
      <w:r w:rsidRPr="00CD3D60">
        <w:rPr>
          <w:b/>
          <w:bCs/>
          <w:color w:val="000000"/>
          <w:sz w:val="24"/>
          <w:szCs w:val="24"/>
          <w:lang w:eastAsia="en-GB"/>
        </w:rPr>
        <w:t>SW-04. Salary entitlements during Covid-19 lockdown obfuscated by government advisories</w:t>
      </w:r>
    </w:p>
    <w:p w14:paraId="5213D889" w14:textId="77777777" w:rsidR="00631DA9" w:rsidRDefault="00631DA9" w:rsidP="009505D2">
      <w:pPr>
        <w:spacing w:before="40" w:after="40" w:line="240" w:lineRule="auto"/>
        <w:rPr>
          <w:color w:val="000000"/>
          <w:lang w:eastAsia="en-GB"/>
        </w:rPr>
      </w:pPr>
    </w:p>
    <w:p w14:paraId="5E66E06D" w14:textId="5574503C" w:rsidR="00631DA9" w:rsidRDefault="00D42640" w:rsidP="009505D2">
      <w:pPr>
        <w:spacing w:before="40" w:after="40" w:line="240" w:lineRule="auto"/>
        <w:rPr>
          <w:color w:val="000000"/>
          <w:lang w:eastAsia="en-GB"/>
        </w:rPr>
      </w:pPr>
      <w:r>
        <w:rPr>
          <w:color w:val="000000"/>
          <w:lang w:eastAsia="en-GB"/>
        </w:rPr>
        <w:t>2.04.1</w:t>
      </w:r>
      <w:r>
        <w:rPr>
          <w:color w:val="000000"/>
          <w:lang w:eastAsia="en-GB"/>
        </w:rPr>
        <w:tab/>
      </w:r>
      <w:r w:rsidR="00631DA9">
        <w:rPr>
          <w:color w:val="000000"/>
          <w:lang w:eastAsia="en-GB"/>
        </w:rPr>
        <w:t>From April 2020, Covid-19 began to affect large numbers of migrant workers residing in worker dormitories. Dormitories were progressively placed under lockdowns from the beginning of April, affecting all dormitories by the end of the same month. Lockdowns were only partially lifted to enable workers to return to work in late August 2020, and as of the time of submission of this report (October 2020), have not been fully lifted even though new positive cases of Covid-19 among migrant workers have been below 20 a day for weeks.</w:t>
      </w:r>
    </w:p>
    <w:p w14:paraId="2BBC9B94" w14:textId="77777777" w:rsidR="00631DA9" w:rsidRDefault="00631DA9" w:rsidP="009505D2">
      <w:pPr>
        <w:spacing w:before="40" w:after="40" w:line="240" w:lineRule="auto"/>
        <w:rPr>
          <w:color w:val="000000"/>
          <w:lang w:eastAsia="en-GB"/>
        </w:rPr>
      </w:pPr>
    </w:p>
    <w:p w14:paraId="319A6C40" w14:textId="77777777" w:rsidR="002C3A20" w:rsidRDefault="00D42640" w:rsidP="009505D2">
      <w:pPr>
        <w:spacing w:before="40" w:after="40" w:line="240" w:lineRule="auto"/>
        <w:rPr>
          <w:color w:val="000000"/>
          <w:lang w:eastAsia="en-GB"/>
        </w:rPr>
      </w:pPr>
      <w:r>
        <w:rPr>
          <w:color w:val="000000"/>
          <w:lang w:eastAsia="en-GB"/>
        </w:rPr>
        <w:t>2.04.2</w:t>
      </w:r>
      <w:r>
        <w:rPr>
          <w:color w:val="000000"/>
          <w:lang w:eastAsia="en-GB"/>
        </w:rPr>
        <w:tab/>
      </w:r>
      <w:r w:rsidR="00631DA9">
        <w:rPr>
          <w:color w:val="000000"/>
          <w:lang w:eastAsia="en-GB"/>
        </w:rPr>
        <w:t xml:space="preserve">Despite a clear provision in legislation that </w:t>
      </w:r>
      <w:r w:rsidR="00631DA9" w:rsidRPr="003150FC">
        <w:rPr>
          <w:color w:val="000000"/>
          <w:lang w:eastAsia="en-GB"/>
        </w:rPr>
        <w:t>regardless of whether there is actual work for the foreign employee</w:t>
      </w:r>
      <w:r w:rsidR="00631DA9">
        <w:rPr>
          <w:color w:val="000000"/>
          <w:lang w:eastAsia="en-GB"/>
        </w:rPr>
        <w:t>, the entitlement to salary remains</w:t>
      </w:r>
      <w:r w:rsidR="00631DA9">
        <w:rPr>
          <w:rStyle w:val="EndnoteReference"/>
          <w:color w:val="000000"/>
          <w:lang w:eastAsia="en-GB"/>
        </w:rPr>
        <w:endnoteReference w:id="18"/>
      </w:r>
      <w:r w:rsidR="00631DA9">
        <w:rPr>
          <w:color w:val="000000"/>
          <w:lang w:eastAsia="en-GB"/>
        </w:rPr>
        <w:t>, the government issued obfuscating advisories through April and May 2020 that signalled official blessing for the reduction of salaries</w:t>
      </w:r>
      <w:r w:rsidR="00631DA9">
        <w:rPr>
          <w:rStyle w:val="EndnoteReference"/>
          <w:color w:val="000000"/>
          <w:lang w:eastAsia="en-GB"/>
        </w:rPr>
        <w:endnoteReference w:id="19"/>
      </w:r>
      <w:r w:rsidR="00631DA9">
        <w:rPr>
          <w:color w:val="000000"/>
          <w:lang w:eastAsia="en-GB"/>
        </w:rPr>
        <w:t>. Whilst the statement</w:t>
      </w:r>
      <w:r w:rsidR="00CD3D60">
        <w:rPr>
          <w:color w:val="000000"/>
          <w:lang w:eastAsia="en-GB"/>
        </w:rPr>
        <w:t>s</w:t>
      </w:r>
      <w:r w:rsidR="00631DA9">
        <w:rPr>
          <w:color w:val="000000"/>
          <w:lang w:eastAsia="en-GB"/>
        </w:rPr>
        <w:t xml:space="preserve"> hint at getting consent from employees before implementing salary reductions, </w:t>
      </w:r>
      <w:proofErr w:type="gramStart"/>
      <w:r w:rsidR="00631DA9">
        <w:rPr>
          <w:color w:val="000000"/>
          <w:lang w:eastAsia="en-GB"/>
        </w:rPr>
        <w:t>in light of</w:t>
      </w:r>
      <w:proofErr w:type="gramEnd"/>
      <w:r w:rsidR="00631DA9">
        <w:rPr>
          <w:color w:val="000000"/>
          <w:lang w:eastAsia="en-GB"/>
        </w:rPr>
        <w:t xml:space="preserve"> the much lower bargaining power of migrant workers, claims of having obtained consent should be seen as highly questionable. </w:t>
      </w:r>
    </w:p>
    <w:p w14:paraId="4AB0EE4D" w14:textId="77777777" w:rsidR="002C3A20" w:rsidRDefault="002C3A20" w:rsidP="009505D2">
      <w:pPr>
        <w:spacing w:before="40" w:after="40" w:line="240" w:lineRule="auto"/>
        <w:rPr>
          <w:color w:val="000000"/>
          <w:lang w:eastAsia="en-GB"/>
        </w:rPr>
      </w:pPr>
    </w:p>
    <w:p w14:paraId="6A653239" w14:textId="77777777" w:rsidR="002C3A20" w:rsidRDefault="002C3A20" w:rsidP="009505D2">
      <w:pPr>
        <w:spacing w:before="40" w:after="40" w:line="240" w:lineRule="auto"/>
        <w:rPr>
          <w:lang w:eastAsia="en-GB"/>
        </w:rPr>
      </w:pPr>
      <w:r>
        <w:rPr>
          <w:color w:val="000000"/>
          <w:lang w:eastAsia="en-GB"/>
        </w:rPr>
        <w:t>2.04.3</w:t>
      </w:r>
      <w:r>
        <w:rPr>
          <w:color w:val="000000"/>
          <w:lang w:eastAsia="en-GB"/>
        </w:rPr>
        <w:tab/>
      </w:r>
      <w:r w:rsidR="00631DA9">
        <w:rPr>
          <w:color w:val="000000"/>
          <w:lang w:eastAsia="en-GB"/>
        </w:rPr>
        <w:t xml:space="preserve">In any case, TWC2 </w:t>
      </w:r>
      <w:r w:rsidR="00AB3D1E">
        <w:rPr>
          <w:color w:val="000000"/>
          <w:lang w:eastAsia="en-GB"/>
        </w:rPr>
        <w:t xml:space="preserve">and HOME </w:t>
      </w:r>
      <w:r w:rsidR="00631DA9">
        <w:rPr>
          <w:color w:val="000000"/>
          <w:lang w:eastAsia="en-GB"/>
        </w:rPr>
        <w:t>ha</w:t>
      </w:r>
      <w:r w:rsidR="00AB3D1E">
        <w:rPr>
          <w:color w:val="000000"/>
          <w:lang w:eastAsia="en-GB"/>
        </w:rPr>
        <w:t>ve</w:t>
      </w:r>
      <w:r w:rsidR="00631DA9">
        <w:rPr>
          <w:color w:val="000000"/>
          <w:lang w:eastAsia="en-GB"/>
        </w:rPr>
        <w:t xml:space="preserve"> received many reports from workers that their </w:t>
      </w:r>
      <w:r w:rsidR="00631DA9" w:rsidRPr="00CD3D60">
        <w:rPr>
          <w:lang w:eastAsia="en-GB"/>
        </w:rPr>
        <w:t xml:space="preserve">employers have unilaterally reduced their salaries or have not paid anything at all during the lockdown. </w:t>
      </w:r>
    </w:p>
    <w:p w14:paraId="2E7347A2" w14:textId="77777777" w:rsidR="002C3A20" w:rsidRDefault="002C3A20" w:rsidP="009505D2">
      <w:pPr>
        <w:spacing w:before="40" w:after="40" w:line="240" w:lineRule="auto"/>
        <w:rPr>
          <w:lang w:eastAsia="en-GB"/>
        </w:rPr>
      </w:pPr>
    </w:p>
    <w:p w14:paraId="5369550E" w14:textId="094F52B7" w:rsidR="00CD3D60" w:rsidRDefault="002C3A20" w:rsidP="009505D2">
      <w:pPr>
        <w:spacing w:before="40" w:after="40" w:line="240" w:lineRule="auto"/>
        <w:rPr>
          <w:color w:val="000000"/>
          <w:lang w:eastAsia="en-GB"/>
        </w:rPr>
      </w:pPr>
      <w:r>
        <w:rPr>
          <w:lang w:eastAsia="en-GB"/>
        </w:rPr>
        <w:t>204.4</w:t>
      </w:r>
      <w:r>
        <w:rPr>
          <w:lang w:eastAsia="en-GB"/>
        </w:rPr>
        <w:tab/>
      </w:r>
      <w:r w:rsidR="00CD3D60" w:rsidRPr="00CD3D60">
        <w:rPr>
          <w:lang w:eastAsia="en-GB"/>
        </w:rPr>
        <w:t>Some</w:t>
      </w:r>
      <w:r w:rsidR="00631DA9" w:rsidRPr="00CD3D60">
        <w:rPr>
          <w:lang w:eastAsia="en-GB"/>
        </w:rPr>
        <w:t xml:space="preserve"> advisories issued by the government have further confused the issue of salary entitlements by linking them to levy rebates given by the government</w:t>
      </w:r>
      <w:r w:rsidR="00631DA9" w:rsidRPr="00CD3D60">
        <w:rPr>
          <w:rStyle w:val="EndnoteReference"/>
          <w:lang w:eastAsia="en-GB"/>
        </w:rPr>
        <w:endnoteReference w:id="20"/>
      </w:r>
      <w:r w:rsidR="00631DA9" w:rsidRPr="00CD3D60">
        <w:rPr>
          <w:lang w:eastAsia="en-GB"/>
        </w:rPr>
        <w:t xml:space="preserve">, </w:t>
      </w:r>
      <w:r w:rsidR="00CD3D60" w:rsidRPr="00CD3D60">
        <w:rPr>
          <w:lang w:eastAsia="en-GB"/>
        </w:rPr>
        <w:t xml:space="preserve">even when </w:t>
      </w:r>
      <w:r w:rsidR="00631DA9" w:rsidRPr="00CD3D60">
        <w:rPr>
          <w:lang w:eastAsia="en-GB"/>
        </w:rPr>
        <w:t>legislation provides no such linkage.</w:t>
      </w:r>
      <w:r w:rsidR="00AB3D1E" w:rsidRPr="00CD3D60">
        <w:rPr>
          <w:lang w:eastAsia="en-GB"/>
        </w:rPr>
        <w:t xml:space="preserve">  </w:t>
      </w:r>
      <w:r w:rsidR="00CD3D60" w:rsidRPr="00CD3D60">
        <w:rPr>
          <w:lang w:eastAsia="en-GB"/>
        </w:rPr>
        <w:t>Yet, at other times, government statements continue to aver that salaries must be paid to workers</w:t>
      </w:r>
      <w:r w:rsidR="00CD3D60" w:rsidRPr="00CD3D60">
        <w:rPr>
          <w:rStyle w:val="EndnoteReference"/>
          <w:lang w:eastAsia="en-GB"/>
        </w:rPr>
        <w:endnoteReference w:id="21"/>
      </w:r>
      <w:r w:rsidR="00CD3D60" w:rsidRPr="00CD3D60">
        <w:rPr>
          <w:lang w:eastAsia="en-GB"/>
        </w:rPr>
        <w:t>, which add to the confusion.</w:t>
      </w:r>
    </w:p>
    <w:p w14:paraId="54E2128D" w14:textId="77777777" w:rsidR="00CD3D60" w:rsidRDefault="00CD3D60" w:rsidP="009505D2">
      <w:pPr>
        <w:spacing w:before="40" w:after="40" w:line="240" w:lineRule="auto"/>
        <w:rPr>
          <w:color w:val="4472C4" w:themeColor="accent1"/>
          <w:lang w:eastAsia="en-GB"/>
        </w:rPr>
      </w:pPr>
    </w:p>
    <w:p w14:paraId="7DA93868" w14:textId="64309121" w:rsidR="00631DA9" w:rsidRPr="00CD3D60" w:rsidRDefault="00CD3D60" w:rsidP="009505D2">
      <w:pPr>
        <w:spacing w:before="40" w:after="40" w:line="240" w:lineRule="auto"/>
        <w:rPr>
          <w:lang w:eastAsia="en-GB"/>
        </w:rPr>
      </w:pPr>
      <w:r w:rsidRPr="00CD3D60">
        <w:rPr>
          <w:lang w:eastAsia="en-GB"/>
        </w:rPr>
        <w:t>2.04.5</w:t>
      </w:r>
      <w:r w:rsidRPr="00CD3D60">
        <w:rPr>
          <w:lang w:eastAsia="en-GB"/>
        </w:rPr>
        <w:tab/>
        <w:t>A</w:t>
      </w:r>
      <w:r w:rsidR="00AB3D1E" w:rsidRPr="00CD3D60">
        <w:rPr>
          <w:lang w:eastAsia="en-GB"/>
        </w:rPr>
        <w:t xml:space="preserve">dvisories from the government </w:t>
      </w:r>
      <w:r w:rsidRPr="00CD3D60">
        <w:rPr>
          <w:lang w:eastAsia="en-GB"/>
        </w:rPr>
        <w:t xml:space="preserve">also </w:t>
      </w:r>
      <w:r w:rsidR="00AB3D1E" w:rsidRPr="00CD3D60">
        <w:rPr>
          <w:lang w:eastAsia="en-GB"/>
        </w:rPr>
        <w:t xml:space="preserve">indicated that employers should </w:t>
      </w:r>
      <w:r w:rsidR="00C20CBE" w:rsidRPr="00CD3D60">
        <w:rPr>
          <w:lang w:eastAsia="en-GB"/>
        </w:rPr>
        <w:t>pay wages</w:t>
      </w:r>
      <w:r w:rsidRPr="00CD3D60">
        <w:rPr>
          <w:lang w:eastAsia="en-GB"/>
        </w:rPr>
        <w:t xml:space="preserve"> </w:t>
      </w:r>
      <w:r w:rsidR="00C20CBE" w:rsidRPr="00CD3D60">
        <w:rPr>
          <w:lang w:eastAsia="en-GB"/>
        </w:rPr>
        <w:t xml:space="preserve">on the basis that </w:t>
      </w:r>
      <w:r w:rsidRPr="00CD3D60">
        <w:rPr>
          <w:lang w:eastAsia="en-GB"/>
        </w:rPr>
        <w:t>the lockdown period be</w:t>
      </w:r>
      <w:r w:rsidR="00C20CBE" w:rsidRPr="00CD3D60">
        <w:rPr>
          <w:lang w:eastAsia="en-GB"/>
        </w:rPr>
        <w:t xml:space="preserve"> treated as consumption of</w:t>
      </w:r>
      <w:r w:rsidR="0059641F" w:rsidRPr="00CD3D60">
        <w:rPr>
          <w:lang w:eastAsia="en-GB"/>
        </w:rPr>
        <w:t xml:space="preserve"> the workers’</w:t>
      </w:r>
      <w:r w:rsidR="00C20CBE" w:rsidRPr="00CD3D60">
        <w:rPr>
          <w:lang w:eastAsia="en-GB"/>
        </w:rPr>
        <w:t xml:space="preserve"> medical leave entitlement</w:t>
      </w:r>
      <w:r w:rsidRPr="00CD3D60">
        <w:rPr>
          <w:lang w:eastAsia="en-GB"/>
        </w:rPr>
        <w:t xml:space="preserve">, thus leaving workers without medical leave should they </w:t>
      </w:r>
      <w:r>
        <w:rPr>
          <w:lang w:eastAsia="en-GB"/>
        </w:rPr>
        <w:t xml:space="preserve">later </w:t>
      </w:r>
      <w:r w:rsidRPr="00CD3D60">
        <w:rPr>
          <w:lang w:eastAsia="en-GB"/>
        </w:rPr>
        <w:t>fall ill and need it</w:t>
      </w:r>
      <w:r>
        <w:rPr>
          <w:lang w:eastAsia="en-GB"/>
        </w:rPr>
        <w:t>.</w:t>
      </w:r>
    </w:p>
    <w:p w14:paraId="5FE5DE19" w14:textId="77777777" w:rsidR="00631DA9" w:rsidRDefault="00631DA9" w:rsidP="009505D2">
      <w:pPr>
        <w:spacing w:before="40" w:after="40" w:line="240" w:lineRule="auto"/>
        <w:rPr>
          <w:color w:val="000000"/>
          <w:lang w:eastAsia="en-GB"/>
        </w:rPr>
      </w:pPr>
    </w:p>
    <w:p w14:paraId="015FC06E" w14:textId="642BBC2F" w:rsidR="00631DA9" w:rsidRDefault="00D42640" w:rsidP="009505D2">
      <w:pPr>
        <w:spacing w:before="40" w:after="40" w:line="240" w:lineRule="auto"/>
        <w:rPr>
          <w:color w:val="000000"/>
          <w:lang w:eastAsia="en-GB"/>
        </w:rPr>
      </w:pPr>
      <w:r>
        <w:rPr>
          <w:color w:val="000000"/>
          <w:lang w:eastAsia="en-GB"/>
        </w:rPr>
        <w:t>2.04.</w:t>
      </w:r>
      <w:r w:rsidR="00CD3D60">
        <w:rPr>
          <w:color w:val="000000"/>
          <w:lang w:eastAsia="en-GB"/>
        </w:rPr>
        <w:t>6</w:t>
      </w:r>
      <w:r>
        <w:rPr>
          <w:color w:val="000000"/>
          <w:lang w:eastAsia="en-GB"/>
        </w:rPr>
        <w:tab/>
      </w:r>
      <w:r w:rsidR="00CD3D60">
        <w:rPr>
          <w:color w:val="000000"/>
          <w:lang w:eastAsia="en-GB"/>
        </w:rPr>
        <w:t>By contradicting legislation, these</w:t>
      </w:r>
      <w:r w:rsidR="00631DA9">
        <w:rPr>
          <w:color w:val="000000"/>
          <w:lang w:eastAsia="en-GB"/>
        </w:rPr>
        <w:t xml:space="preserve"> statements suggest that </w:t>
      </w:r>
      <w:r w:rsidR="00EC1747">
        <w:rPr>
          <w:color w:val="000000"/>
          <w:lang w:eastAsia="en-GB"/>
        </w:rPr>
        <w:t xml:space="preserve">a reluctance </w:t>
      </w:r>
      <w:r w:rsidR="00631DA9">
        <w:rPr>
          <w:color w:val="000000"/>
          <w:lang w:eastAsia="en-GB"/>
        </w:rPr>
        <w:t>on the part of the government to enforce legislation when it comes to salary entitlements and represent a regression of protections for migrant workers.</w:t>
      </w:r>
    </w:p>
    <w:p w14:paraId="5165F368" w14:textId="15112592" w:rsidR="00631DA9" w:rsidRDefault="00631DA9" w:rsidP="009505D2">
      <w:pPr>
        <w:spacing w:before="40" w:after="40" w:line="240" w:lineRule="auto"/>
        <w:rPr>
          <w:color w:val="000000"/>
          <w:lang w:eastAsia="en-GB"/>
        </w:rPr>
      </w:pPr>
    </w:p>
    <w:p w14:paraId="4DDB1DF1" w14:textId="77777777" w:rsidR="00EC1747" w:rsidRDefault="00EC1747" w:rsidP="009505D2">
      <w:pPr>
        <w:spacing w:before="40" w:after="40" w:line="240" w:lineRule="auto"/>
        <w:rPr>
          <w:color w:val="000000"/>
          <w:lang w:eastAsia="en-GB"/>
        </w:rPr>
      </w:pPr>
    </w:p>
    <w:p w14:paraId="29C7337B" w14:textId="77777777" w:rsidR="00631DA9" w:rsidRPr="00EC1747" w:rsidRDefault="00631DA9" w:rsidP="009505D2">
      <w:pPr>
        <w:pStyle w:val="NormalWeb"/>
        <w:shd w:val="clear" w:color="auto" w:fill="FFFFFF"/>
        <w:spacing w:before="40" w:beforeAutospacing="0" w:after="40" w:afterAutospacing="0"/>
        <w:rPr>
          <w:rFonts w:asciiTheme="minorHAnsi" w:hAnsiTheme="minorHAnsi" w:cstheme="minorHAnsi"/>
          <w:b/>
          <w:bCs/>
        </w:rPr>
      </w:pPr>
      <w:r w:rsidRPr="00EC1747">
        <w:rPr>
          <w:rFonts w:asciiTheme="minorHAnsi" w:hAnsiTheme="minorHAnsi" w:cstheme="minorHAnsi"/>
          <w:b/>
          <w:bCs/>
        </w:rPr>
        <w:t>SW-05. Freedom of movement and social rights decimated in the wake of Covid-19</w:t>
      </w:r>
    </w:p>
    <w:p w14:paraId="030A4913" w14:textId="77777777" w:rsidR="009505D2" w:rsidRDefault="009505D2" w:rsidP="009505D2">
      <w:pPr>
        <w:spacing w:before="40" w:after="40" w:line="240" w:lineRule="auto"/>
        <w:rPr>
          <w:color w:val="000000"/>
          <w:lang w:eastAsia="en-GB"/>
        </w:rPr>
      </w:pPr>
    </w:p>
    <w:p w14:paraId="5A0ECFBF" w14:textId="59D60853" w:rsidR="00631DA9" w:rsidRDefault="00D42640" w:rsidP="009505D2">
      <w:pPr>
        <w:spacing w:before="40" w:after="40" w:line="240" w:lineRule="auto"/>
        <w:rPr>
          <w:color w:val="000000"/>
          <w:lang w:eastAsia="en-GB"/>
        </w:rPr>
      </w:pPr>
      <w:r>
        <w:rPr>
          <w:color w:val="000000"/>
          <w:lang w:eastAsia="en-GB"/>
        </w:rPr>
        <w:t>2.05.1</w:t>
      </w:r>
      <w:r>
        <w:rPr>
          <w:color w:val="000000"/>
          <w:lang w:eastAsia="en-GB"/>
        </w:rPr>
        <w:tab/>
      </w:r>
      <w:r w:rsidR="00631DA9">
        <w:rPr>
          <w:color w:val="000000"/>
          <w:lang w:eastAsia="en-GB"/>
        </w:rPr>
        <w:t>Migrant workers’ freedom of movement and social rights were decimated when migrant worker dormitories were locked down because of high infection rates of migrant workers starting April 2020. Workers were largely confined to their rooms shared typically by 12 – 20 men with consequently high risk of cross-infection.</w:t>
      </w:r>
    </w:p>
    <w:p w14:paraId="25A0EF24" w14:textId="77777777" w:rsidR="00D42640" w:rsidRDefault="00D42640" w:rsidP="009505D2">
      <w:pPr>
        <w:spacing w:before="40" w:after="40" w:line="240" w:lineRule="auto"/>
        <w:rPr>
          <w:color w:val="000000"/>
          <w:lang w:eastAsia="en-GB"/>
        </w:rPr>
      </w:pPr>
    </w:p>
    <w:p w14:paraId="0A940E5F" w14:textId="77777777" w:rsidR="002C3A20" w:rsidRDefault="00D42640" w:rsidP="009505D2">
      <w:pPr>
        <w:spacing w:before="40" w:after="40" w:line="240" w:lineRule="auto"/>
        <w:rPr>
          <w:color w:val="000000"/>
          <w:lang w:eastAsia="en-GB"/>
        </w:rPr>
      </w:pPr>
      <w:r>
        <w:rPr>
          <w:color w:val="000000"/>
          <w:lang w:eastAsia="en-GB"/>
        </w:rPr>
        <w:t>2.05.2</w:t>
      </w:r>
      <w:r>
        <w:rPr>
          <w:color w:val="000000"/>
          <w:lang w:eastAsia="en-GB"/>
        </w:rPr>
        <w:tab/>
      </w:r>
      <w:r w:rsidR="00EC1747">
        <w:rPr>
          <w:color w:val="000000"/>
          <w:lang w:eastAsia="en-GB"/>
        </w:rPr>
        <w:t xml:space="preserve">More recently, </w:t>
      </w:r>
      <w:r w:rsidR="00631DA9">
        <w:rPr>
          <w:color w:val="000000"/>
          <w:lang w:eastAsia="en-GB"/>
        </w:rPr>
        <w:t xml:space="preserve">dorm residents </w:t>
      </w:r>
      <w:proofErr w:type="gramStart"/>
      <w:r w:rsidR="00631DA9">
        <w:rPr>
          <w:color w:val="000000"/>
          <w:lang w:eastAsia="en-GB"/>
        </w:rPr>
        <w:t>were allowed to</w:t>
      </w:r>
      <w:proofErr w:type="gramEnd"/>
      <w:r w:rsidR="00631DA9">
        <w:rPr>
          <w:color w:val="000000"/>
          <w:lang w:eastAsia="en-GB"/>
        </w:rPr>
        <w:t xml:space="preserve"> </w:t>
      </w:r>
      <w:r w:rsidR="00EC1747">
        <w:rPr>
          <w:color w:val="000000"/>
          <w:lang w:eastAsia="en-GB"/>
        </w:rPr>
        <w:t>return</w:t>
      </w:r>
      <w:r w:rsidR="00631DA9">
        <w:rPr>
          <w:color w:val="000000"/>
          <w:lang w:eastAsia="en-GB"/>
        </w:rPr>
        <w:t xml:space="preserve"> to work, albeit under tightly controlled transport arrangements,</w:t>
      </w:r>
      <w:r w:rsidR="00EC1747">
        <w:rPr>
          <w:color w:val="000000"/>
          <w:lang w:eastAsia="en-GB"/>
        </w:rPr>
        <w:t xml:space="preserve"> but </w:t>
      </w:r>
      <w:r w:rsidR="00631DA9">
        <w:rPr>
          <w:color w:val="000000"/>
          <w:lang w:eastAsia="en-GB"/>
        </w:rPr>
        <w:t>they remain largely barred from leaving their dormitories for social activities and leisure. The only exceptions are for medical treatment and, in theory, a narrow window of only 3 hours per weekly rest day for going to nearby shops, though it is envisaged that the hours will increase as Covid-19 recedes.</w:t>
      </w:r>
    </w:p>
    <w:p w14:paraId="02B704D4" w14:textId="77777777" w:rsidR="002C3A20" w:rsidRDefault="002C3A20" w:rsidP="009505D2">
      <w:pPr>
        <w:spacing w:before="40" w:after="40" w:line="240" w:lineRule="auto"/>
        <w:rPr>
          <w:color w:val="000000"/>
          <w:lang w:eastAsia="en-GB"/>
        </w:rPr>
      </w:pPr>
    </w:p>
    <w:p w14:paraId="0544B8F8" w14:textId="0BABFBDD" w:rsidR="00631DA9" w:rsidRDefault="002C3A20" w:rsidP="009505D2">
      <w:pPr>
        <w:spacing w:before="40" w:after="40" w:line="240" w:lineRule="auto"/>
        <w:rPr>
          <w:color w:val="000000"/>
          <w:lang w:eastAsia="en-GB"/>
        </w:rPr>
      </w:pPr>
      <w:r>
        <w:rPr>
          <w:color w:val="000000"/>
          <w:lang w:eastAsia="en-GB"/>
        </w:rPr>
        <w:t>2.05.3</w:t>
      </w:r>
      <w:r>
        <w:rPr>
          <w:color w:val="000000"/>
          <w:lang w:eastAsia="en-GB"/>
        </w:rPr>
        <w:tab/>
      </w:r>
      <w:r w:rsidR="00631DA9">
        <w:rPr>
          <w:color w:val="000000"/>
          <w:lang w:eastAsia="en-GB"/>
        </w:rPr>
        <w:t>TWC2 found through a telephone survey that</w:t>
      </w:r>
      <w:proofErr w:type="gramStart"/>
      <w:r w:rsidR="00631DA9">
        <w:rPr>
          <w:color w:val="000000"/>
          <w:lang w:eastAsia="en-GB"/>
        </w:rPr>
        <w:t>, in reality, very</w:t>
      </w:r>
      <w:proofErr w:type="gramEnd"/>
      <w:r w:rsidR="00631DA9">
        <w:rPr>
          <w:color w:val="000000"/>
          <w:lang w:eastAsia="en-GB"/>
        </w:rPr>
        <w:t xml:space="preserve"> few workers have even enjoyed the 3-hour rest day window</w:t>
      </w:r>
      <w:r w:rsidR="00631DA9">
        <w:rPr>
          <w:rStyle w:val="EndnoteReference"/>
          <w:color w:val="000000"/>
          <w:lang w:eastAsia="en-GB"/>
        </w:rPr>
        <w:endnoteReference w:id="22"/>
      </w:r>
      <w:r w:rsidR="00631DA9">
        <w:rPr>
          <w:color w:val="000000"/>
          <w:lang w:eastAsia="en-GB"/>
        </w:rPr>
        <w:t xml:space="preserve">. Rest days are assigned by employers and dorm residents may not leave their accommodation even in the hours after work (e.g. evenings) if it is not their assigned rest day. This ban on access to leisure and social activities outside of dorms has been in effect for six months and is still largely in effect as at the time of this report (October 2020). </w:t>
      </w:r>
    </w:p>
    <w:p w14:paraId="3878A8C2" w14:textId="77777777" w:rsidR="00631DA9" w:rsidRDefault="00631DA9" w:rsidP="009505D2">
      <w:pPr>
        <w:spacing w:before="40" w:after="40" w:line="240" w:lineRule="auto"/>
        <w:rPr>
          <w:color w:val="000000"/>
          <w:lang w:eastAsia="en-GB"/>
        </w:rPr>
      </w:pPr>
    </w:p>
    <w:p w14:paraId="07EEE9D4" w14:textId="2EC1AF4C" w:rsidR="00631DA9" w:rsidRDefault="00D42640" w:rsidP="009505D2">
      <w:pPr>
        <w:spacing w:before="40" w:after="40" w:line="240" w:lineRule="auto"/>
        <w:rPr>
          <w:color w:val="000000"/>
          <w:lang w:eastAsia="en-GB"/>
        </w:rPr>
      </w:pPr>
      <w:r>
        <w:rPr>
          <w:color w:val="000000"/>
          <w:lang w:eastAsia="en-GB"/>
        </w:rPr>
        <w:t>2.05.</w:t>
      </w:r>
      <w:r w:rsidR="002C3A20">
        <w:rPr>
          <w:color w:val="000000"/>
          <w:lang w:eastAsia="en-GB"/>
        </w:rPr>
        <w:t>4</w:t>
      </w:r>
      <w:r>
        <w:rPr>
          <w:color w:val="000000"/>
          <w:lang w:eastAsia="en-GB"/>
        </w:rPr>
        <w:tab/>
      </w:r>
      <w:r w:rsidR="00631DA9">
        <w:rPr>
          <w:color w:val="000000"/>
          <w:lang w:eastAsia="en-GB"/>
        </w:rPr>
        <w:t>The power to confine workers inside dormitories was formalised when, o</w:t>
      </w:r>
      <w:r w:rsidR="00631DA9" w:rsidRPr="00105E9D">
        <w:rPr>
          <w:color w:val="000000"/>
          <w:lang w:eastAsia="en-GB"/>
        </w:rPr>
        <w:t>n 2 June</w:t>
      </w:r>
      <w:r w:rsidR="00631DA9">
        <w:rPr>
          <w:color w:val="000000"/>
          <w:lang w:eastAsia="en-GB"/>
        </w:rPr>
        <w:t xml:space="preserve"> 2020</w:t>
      </w:r>
      <w:r w:rsidR="00631DA9" w:rsidRPr="00105E9D">
        <w:rPr>
          <w:color w:val="000000"/>
          <w:lang w:eastAsia="en-GB"/>
        </w:rPr>
        <w:t xml:space="preserve">, the Government amended </w:t>
      </w:r>
      <w:r w:rsidR="00631DA9">
        <w:rPr>
          <w:color w:val="000000"/>
          <w:lang w:eastAsia="en-GB"/>
        </w:rPr>
        <w:t>legislation</w:t>
      </w:r>
      <w:r w:rsidR="00631DA9">
        <w:rPr>
          <w:rStyle w:val="EndnoteReference"/>
          <w:color w:val="000000"/>
          <w:lang w:eastAsia="en-GB"/>
        </w:rPr>
        <w:endnoteReference w:id="23"/>
      </w:r>
      <w:r w:rsidR="00631DA9">
        <w:rPr>
          <w:color w:val="000000"/>
          <w:lang w:eastAsia="en-GB"/>
        </w:rPr>
        <w:t xml:space="preserve"> </w:t>
      </w:r>
      <w:r w:rsidR="00631DA9" w:rsidRPr="00105E9D">
        <w:rPr>
          <w:color w:val="000000"/>
          <w:lang w:eastAsia="en-GB"/>
        </w:rPr>
        <w:t xml:space="preserve">to require employers to confine </w:t>
      </w:r>
      <w:r w:rsidR="00631DA9">
        <w:rPr>
          <w:color w:val="000000"/>
          <w:lang w:eastAsia="en-GB"/>
        </w:rPr>
        <w:t xml:space="preserve">dorm residents </w:t>
      </w:r>
      <w:r w:rsidR="00631DA9" w:rsidRPr="00105E9D">
        <w:rPr>
          <w:color w:val="000000"/>
          <w:lang w:eastAsia="en-GB"/>
        </w:rPr>
        <w:t>in their accommodation</w:t>
      </w:r>
      <w:r w:rsidR="00631DA9">
        <w:rPr>
          <w:color w:val="000000"/>
          <w:lang w:eastAsia="en-GB"/>
        </w:rPr>
        <w:t xml:space="preserve">. </w:t>
      </w:r>
      <w:r w:rsidR="00EC1747">
        <w:rPr>
          <w:color w:val="000000"/>
          <w:lang w:eastAsia="en-GB"/>
        </w:rPr>
        <w:t>Further amended in September 2020, t</w:t>
      </w:r>
      <w:r w:rsidR="00631DA9">
        <w:rPr>
          <w:color w:val="000000"/>
          <w:lang w:eastAsia="en-GB"/>
        </w:rPr>
        <w:t>he regulations</w:t>
      </w:r>
      <w:r w:rsidR="004D1886">
        <w:rPr>
          <w:color w:val="000000"/>
          <w:lang w:eastAsia="en-GB"/>
        </w:rPr>
        <w:t xml:space="preserve"> still give</w:t>
      </w:r>
      <w:r w:rsidR="00631DA9">
        <w:rPr>
          <w:color w:val="000000"/>
          <w:lang w:eastAsia="en-GB"/>
        </w:rPr>
        <w:t xml:space="preserve"> the government the power to control when dorm residents may leave their accommodation, and this is being done through a phone-based digital application for “exit passes”. </w:t>
      </w:r>
    </w:p>
    <w:p w14:paraId="738D2B33" w14:textId="77777777" w:rsidR="00631DA9" w:rsidRDefault="00631DA9" w:rsidP="009505D2">
      <w:pPr>
        <w:spacing w:before="40" w:after="40" w:line="240" w:lineRule="auto"/>
        <w:rPr>
          <w:color w:val="000000"/>
          <w:lang w:eastAsia="en-GB"/>
        </w:rPr>
      </w:pPr>
    </w:p>
    <w:p w14:paraId="09BF44C8" w14:textId="5108FFE8" w:rsidR="00631DA9" w:rsidRPr="00105E9D" w:rsidRDefault="00D42640" w:rsidP="009505D2">
      <w:pPr>
        <w:spacing w:before="40" w:after="40" w:line="240" w:lineRule="auto"/>
        <w:rPr>
          <w:color w:val="000000"/>
          <w:lang w:eastAsia="en-GB"/>
        </w:rPr>
      </w:pPr>
      <w:r>
        <w:rPr>
          <w:color w:val="000000"/>
          <w:lang w:eastAsia="en-GB"/>
        </w:rPr>
        <w:t>2.05.</w:t>
      </w:r>
      <w:r w:rsidR="002C3A20">
        <w:rPr>
          <w:color w:val="000000"/>
          <w:lang w:eastAsia="en-GB"/>
        </w:rPr>
        <w:t>5</w:t>
      </w:r>
      <w:r>
        <w:rPr>
          <w:color w:val="000000"/>
          <w:lang w:eastAsia="en-GB"/>
        </w:rPr>
        <w:tab/>
      </w:r>
      <w:r w:rsidR="00631DA9">
        <w:rPr>
          <w:color w:val="000000"/>
          <w:lang w:eastAsia="en-GB"/>
        </w:rPr>
        <w:t xml:space="preserve">The resulting effect is that </w:t>
      </w:r>
      <w:r w:rsidR="00631DA9" w:rsidRPr="00105E9D">
        <w:rPr>
          <w:color w:val="000000"/>
          <w:lang w:eastAsia="en-GB"/>
        </w:rPr>
        <w:t xml:space="preserve">much </w:t>
      </w:r>
      <w:r w:rsidR="00631DA9">
        <w:rPr>
          <w:color w:val="000000"/>
          <w:lang w:eastAsia="en-GB"/>
        </w:rPr>
        <w:t>of</w:t>
      </w:r>
      <w:r w:rsidR="00631DA9" w:rsidRPr="00105E9D">
        <w:rPr>
          <w:color w:val="000000"/>
          <w:lang w:eastAsia="en-GB"/>
        </w:rPr>
        <w:t xml:space="preserve"> workers' freedom of movement</w:t>
      </w:r>
      <w:r w:rsidR="00631DA9">
        <w:rPr>
          <w:color w:val="000000"/>
          <w:lang w:eastAsia="en-GB"/>
        </w:rPr>
        <w:t>,</w:t>
      </w:r>
      <w:r w:rsidR="00631DA9" w:rsidRPr="00105E9D">
        <w:rPr>
          <w:color w:val="000000"/>
          <w:lang w:eastAsia="en-GB"/>
        </w:rPr>
        <w:t xml:space="preserve"> even to </w:t>
      </w:r>
      <w:r w:rsidR="00631DA9">
        <w:rPr>
          <w:color w:val="000000"/>
          <w:lang w:eastAsia="en-GB"/>
        </w:rPr>
        <w:t>seek</w:t>
      </w:r>
      <w:r w:rsidR="00631DA9" w:rsidRPr="00105E9D">
        <w:rPr>
          <w:color w:val="000000"/>
          <w:lang w:eastAsia="en-GB"/>
        </w:rPr>
        <w:t xml:space="preserve"> medical </w:t>
      </w:r>
      <w:r w:rsidR="00631DA9">
        <w:rPr>
          <w:color w:val="000000"/>
          <w:lang w:eastAsia="en-GB"/>
        </w:rPr>
        <w:t>help where no prior appointment has been scheduled, ha</w:t>
      </w:r>
      <w:r w:rsidR="00EC1747">
        <w:rPr>
          <w:color w:val="000000"/>
          <w:lang w:eastAsia="en-GB"/>
        </w:rPr>
        <w:t>s</w:t>
      </w:r>
      <w:r w:rsidR="00631DA9">
        <w:rPr>
          <w:color w:val="000000"/>
          <w:lang w:eastAsia="en-GB"/>
        </w:rPr>
        <w:t xml:space="preserve"> been placed </w:t>
      </w:r>
      <w:r w:rsidR="00631DA9" w:rsidRPr="00105E9D">
        <w:rPr>
          <w:color w:val="000000"/>
          <w:lang w:eastAsia="en-GB"/>
        </w:rPr>
        <w:t>in the hands of</w:t>
      </w:r>
      <w:r w:rsidR="00631DA9">
        <w:rPr>
          <w:color w:val="000000"/>
          <w:lang w:eastAsia="en-GB"/>
        </w:rPr>
        <w:t xml:space="preserve"> the government, </w:t>
      </w:r>
      <w:r w:rsidR="00631DA9" w:rsidRPr="00105E9D">
        <w:rPr>
          <w:color w:val="000000"/>
          <w:lang w:eastAsia="en-GB"/>
        </w:rPr>
        <w:t xml:space="preserve">their </w:t>
      </w:r>
      <w:proofErr w:type="gramStart"/>
      <w:r w:rsidR="00631DA9" w:rsidRPr="00105E9D">
        <w:rPr>
          <w:color w:val="000000"/>
          <w:lang w:eastAsia="en-GB"/>
        </w:rPr>
        <w:t>employers</w:t>
      </w:r>
      <w:proofErr w:type="gramEnd"/>
      <w:r w:rsidR="00631DA9" w:rsidRPr="00105E9D">
        <w:rPr>
          <w:color w:val="000000"/>
          <w:lang w:eastAsia="en-GB"/>
        </w:rPr>
        <w:t xml:space="preserve"> </w:t>
      </w:r>
      <w:r w:rsidR="00EC1747">
        <w:rPr>
          <w:color w:val="000000"/>
          <w:lang w:eastAsia="en-GB"/>
        </w:rPr>
        <w:t>or</w:t>
      </w:r>
      <w:r w:rsidR="00631DA9" w:rsidRPr="00105E9D">
        <w:rPr>
          <w:color w:val="000000"/>
          <w:lang w:eastAsia="en-GB"/>
        </w:rPr>
        <w:t xml:space="preserve"> dormitory operators.  It can be very difficult for workers to reach the authorities </w:t>
      </w:r>
      <w:r w:rsidR="00631DA9">
        <w:rPr>
          <w:color w:val="000000"/>
          <w:lang w:eastAsia="en-GB"/>
        </w:rPr>
        <w:t xml:space="preserve">or civil society organisations for help </w:t>
      </w:r>
      <w:r w:rsidR="00631DA9" w:rsidRPr="00105E9D">
        <w:rPr>
          <w:color w:val="000000"/>
          <w:lang w:eastAsia="en-GB"/>
        </w:rPr>
        <w:t>when they are physically confined</w:t>
      </w:r>
      <w:r w:rsidR="00631DA9">
        <w:rPr>
          <w:color w:val="000000"/>
          <w:lang w:eastAsia="en-GB"/>
        </w:rPr>
        <w:t>.</w:t>
      </w:r>
      <w:r w:rsidR="00631DA9" w:rsidRPr="00105E9D">
        <w:rPr>
          <w:color w:val="000000"/>
          <w:lang w:eastAsia="en-GB"/>
        </w:rPr>
        <w:t xml:space="preserve"> </w:t>
      </w:r>
    </w:p>
    <w:p w14:paraId="09BE6CE0" w14:textId="77777777" w:rsidR="00631DA9" w:rsidRPr="00105E9D" w:rsidRDefault="00631DA9" w:rsidP="009505D2">
      <w:pPr>
        <w:spacing w:before="40" w:after="40" w:line="240" w:lineRule="auto"/>
        <w:rPr>
          <w:color w:val="000000"/>
          <w:lang w:eastAsia="en-GB"/>
        </w:rPr>
      </w:pPr>
    </w:p>
    <w:p w14:paraId="69637409" w14:textId="125031FF" w:rsidR="00631DA9" w:rsidRDefault="00D42640" w:rsidP="009505D2">
      <w:pPr>
        <w:spacing w:before="40" w:after="40" w:line="240" w:lineRule="auto"/>
        <w:rPr>
          <w:color w:val="000000"/>
          <w:lang w:eastAsia="en-GB"/>
        </w:rPr>
      </w:pPr>
      <w:r>
        <w:rPr>
          <w:color w:val="000000"/>
          <w:lang w:eastAsia="en-GB"/>
        </w:rPr>
        <w:t>2.05.</w:t>
      </w:r>
      <w:r w:rsidR="002C3A20">
        <w:rPr>
          <w:color w:val="000000"/>
          <w:lang w:eastAsia="en-GB"/>
        </w:rPr>
        <w:t>6</w:t>
      </w:r>
      <w:r>
        <w:rPr>
          <w:color w:val="000000"/>
          <w:lang w:eastAsia="en-GB"/>
        </w:rPr>
        <w:tab/>
      </w:r>
      <w:r w:rsidR="00631DA9" w:rsidRPr="00105E9D">
        <w:rPr>
          <w:color w:val="000000"/>
          <w:lang w:eastAsia="en-GB"/>
        </w:rPr>
        <w:t xml:space="preserve">It could be argued that such draconian measures are a necessary public health measure; the scientific or epidemiological necessity of this cannot be assessed by HOME or TWC2.  But the reason </w:t>
      </w:r>
      <w:r w:rsidR="00EC1747">
        <w:rPr>
          <w:color w:val="000000"/>
          <w:lang w:eastAsia="en-GB"/>
        </w:rPr>
        <w:t>for resorting to</w:t>
      </w:r>
      <w:r w:rsidR="00631DA9" w:rsidRPr="00105E9D">
        <w:rPr>
          <w:color w:val="000000"/>
          <w:lang w:eastAsia="en-GB"/>
        </w:rPr>
        <w:t xml:space="preserve"> sweeping intervention affecting hundreds of thousands of people on the basis of their migration pass status, rather than on individual health risks, was the failure of the </w:t>
      </w:r>
      <w:r w:rsidR="00631DA9">
        <w:rPr>
          <w:color w:val="000000"/>
          <w:lang w:eastAsia="en-GB"/>
        </w:rPr>
        <w:t>g</w:t>
      </w:r>
      <w:r w:rsidR="00631DA9" w:rsidRPr="00105E9D">
        <w:rPr>
          <w:color w:val="000000"/>
          <w:lang w:eastAsia="en-GB"/>
        </w:rPr>
        <w:t>overnment to take effective action to control the contagion in migrant workers' accommodation in the first place.</w:t>
      </w:r>
      <w:r w:rsidR="00631DA9">
        <w:rPr>
          <w:color w:val="000000"/>
          <w:lang w:eastAsia="en-GB"/>
        </w:rPr>
        <w:t xml:space="preserve"> The prior policies of promoting worker dormitories that house migrant workers in high density accommodation – often 20 men to a room in double decker bunks – likely created infection vulnerability. </w:t>
      </w:r>
      <w:r w:rsidR="00631DA9" w:rsidRPr="00105E9D">
        <w:rPr>
          <w:color w:val="000000"/>
          <w:lang w:eastAsia="en-GB"/>
        </w:rPr>
        <w:t xml:space="preserve">The workers have paid the price in terms of their health; and continue to pay a price extracted out of their freedom </w:t>
      </w:r>
      <w:r w:rsidR="00631DA9">
        <w:rPr>
          <w:color w:val="000000"/>
          <w:lang w:eastAsia="en-GB"/>
        </w:rPr>
        <w:t>of movement</w:t>
      </w:r>
      <w:r w:rsidR="00631DA9" w:rsidRPr="00105E9D">
        <w:rPr>
          <w:color w:val="000000"/>
          <w:lang w:eastAsia="en-GB"/>
        </w:rPr>
        <w:t xml:space="preserve">, even as the rest of Singapore </w:t>
      </w:r>
      <w:r w:rsidR="00631DA9">
        <w:rPr>
          <w:color w:val="000000"/>
          <w:lang w:eastAsia="en-GB"/>
        </w:rPr>
        <w:t>began resuming near-normalcy in early June 2020 after only eight weeks of lock-down.</w:t>
      </w:r>
    </w:p>
    <w:p w14:paraId="13FDC94A" w14:textId="0A1FDBBA" w:rsidR="00631DA9" w:rsidRDefault="00631DA9" w:rsidP="009505D2">
      <w:pPr>
        <w:spacing w:before="40" w:after="40" w:line="240" w:lineRule="auto"/>
        <w:rPr>
          <w:color w:val="000000"/>
          <w:lang w:eastAsia="en-GB"/>
        </w:rPr>
      </w:pPr>
    </w:p>
    <w:p w14:paraId="033D18C2" w14:textId="59EB8811" w:rsidR="00631DA9" w:rsidRDefault="00631DA9" w:rsidP="009505D2">
      <w:pPr>
        <w:spacing w:before="40" w:after="40" w:line="240" w:lineRule="auto"/>
        <w:rPr>
          <w:color w:val="000000"/>
          <w:lang w:eastAsia="en-GB"/>
        </w:rPr>
      </w:pPr>
    </w:p>
    <w:p w14:paraId="3BCFD9DB" w14:textId="3E69C365" w:rsidR="00631DA9" w:rsidRPr="003D1566" w:rsidRDefault="00631DA9" w:rsidP="009505D2">
      <w:pPr>
        <w:spacing w:before="40" w:after="40" w:line="240" w:lineRule="auto"/>
        <w:rPr>
          <w:b/>
          <w:bCs/>
          <w:color w:val="000000"/>
          <w:sz w:val="24"/>
          <w:szCs w:val="24"/>
          <w:lang w:eastAsia="en-GB"/>
        </w:rPr>
      </w:pPr>
      <w:r w:rsidRPr="003D1566">
        <w:rPr>
          <w:b/>
          <w:bCs/>
          <w:color w:val="000000"/>
          <w:sz w:val="24"/>
          <w:szCs w:val="24"/>
          <w:lang w:eastAsia="en-GB"/>
        </w:rPr>
        <w:t xml:space="preserve">SW-06. Salary mediators overstepping their </w:t>
      </w:r>
      <w:r w:rsidR="00234F3D">
        <w:rPr>
          <w:b/>
          <w:bCs/>
          <w:color w:val="000000"/>
          <w:sz w:val="24"/>
          <w:szCs w:val="24"/>
          <w:lang w:eastAsia="en-GB"/>
        </w:rPr>
        <w:t>role</w:t>
      </w:r>
      <w:r w:rsidRPr="003D1566">
        <w:rPr>
          <w:b/>
          <w:bCs/>
          <w:color w:val="000000"/>
          <w:sz w:val="24"/>
          <w:szCs w:val="24"/>
          <w:lang w:eastAsia="en-GB"/>
        </w:rPr>
        <w:t xml:space="preserve"> and limiting claimants’ rights</w:t>
      </w:r>
    </w:p>
    <w:p w14:paraId="4113FEAE" w14:textId="738C1117" w:rsidR="00631DA9" w:rsidRDefault="00631DA9" w:rsidP="009505D2">
      <w:pPr>
        <w:spacing w:before="40" w:after="40" w:line="240" w:lineRule="auto"/>
        <w:rPr>
          <w:color w:val="000000"/>
          <w:lang w:eastAsia="en-GB"/>
        </w:rPr>
      </w:pPr>
    </w:p>
    <w:p w14:paraId="5F78949E" w14:textId="3CA2071D" w:rsidR="00257A52" w:rsidRDefault="00D42640" w:rsidP="009505D2">
      <w:pPr>
        <w:spacing w:before="40" w:after="40" w:line="240" w:lineRule="auto"/>
        <w:rPr>
          <w:color w:val="000000"/>
          <w:lang w:eastAsia="en-GB"/>
        </w:rPr>
      </w:pPr>
      <w:r>
        <w:rPr>
          <w:color w:val="000000"/>
          <w:lang w:eastAsia="en-GB"/>
        </w:rPr>
        <w:t>2.06.1</w:t>
      </w:r>
      <w:r>
        <w:rPr>
          <w:color w:val="000000"/>
          <w:lang w:eastAsia="en-GB"/>
        </w:rPr>
        <w:tab/>
      </w:r>
      <w:r w:rsidR="00D23858">
        <w:rPr>
          <w:color w:val="000000"/>
          <w:lang w:eastAsia="en-GB"/>
        </w:rPr>
        <w:t xml:space="preserve">The Employment Claims Act requires that before </w:t>
      </w:r>
      <w:r w:rsidR="00E64BF9" w:rsidRPr="00E64BF9">
        <w:rPr>
          <w:color w:val="000000"/>
          <w:lang w:eastAsia="en-GB"/>
        </w:rPr>
        <w:t xml:space="preserve">employment disputes can be adjudicated by </w:t>
      </w:r>
      <w:r w:rsidR="00E64BF9">
        <w:rPr>
          <w:color w:val="000000"/>
          <w:lang w:eastAsia="en-GB"/>
        </w:rPr>
        <w:t>the Employment Claims Tribunal (ECT)</w:t>
      </w:r>
      <w:r w:rsidR="00D23858">
        <w:rPr>
          <w:color w:val="000000"/>
          <w:lang w:eastAsia="en-GB"/>
        </w:rPr>
        <w:t xml:space="preserve">, the matter must first be referred to mediation. The government has delegated </w:t>
      </w:r>
      <w:r w:rsidR="00E64BF9">
        <w:rPr>
          <w:color w:val="000000"/>
          <w:lang w:eastAsia="en-GB"/>
        </w:rPr>
        <w:t xml:space="preserve">the mediation of disputes </w:t>
      </w:r>
      <w:r w:rsidR="00D23858">
        <w:rPr>
          <w:color w:val="000000"/>
          <w:lang w:eastAsia="en-GB"/>
        </w:rPr>
        <w:t xml:space="preserve">to the Tripartite Alliance for Dispute </w:t>
      </w:r>
      <w:r w:rsidR="00D23858">
        <w:rPr>
          <w:color w:val="000000"/>
          <w:lang w:eastAsia="en-GB"/>
        </w:rPr>
        <w:lastRenderedPageBreak/>
        <w:t>Management (TADM)</w:t>
      </w:r>
      <w:r w:rsidR="00E64BF9">
        <w:rPr>
          <w:color w:val="000000"/>
          <w:lang w:eastAsia="en-GB"/>
        </w:rPr>
        <w:t xml:space="preserve">. </w:t>
      </w:r>
      <w:r w:rsidR="00CA75E5">
        <w:rPr>
          <w:color w:val="000000"/>
          <w:lang w:eastAsia="en-GB"/>
        </w:rPr>
        <w:t xml:space="preserve">If </w:t>
      </w:r>
      <w:r w:rsidR="00E64BF9">
        <w:rPr>
          <w:color w:val="000000"/>
          <w:lang w:eastAsia="en-GB"/>
        </w:rPr>
        <w:t>parties are unable to reach a settlement,</w:t>
      </w:r>
      <w:r w:rsidR="00CA75E5">
        <w:rPr>
          <w:color w:val="000000"/>
          <w:lang w:eastAsia="en-GB"/>
        </w:rPr>
        <w:t xml:space="preserve"> TADM will issue a Claim Referral Certificate (CRC) by which the case is transferred to the</w:t>
      </w:r>
      <w:r w:rsidR="00E64BF9">
        <w:rPr>
          <w:color w:val="000000"/>
          <w:lang w:eastAsia="en-GB"/>
        </w:rPr>
        <w:t xml:space="preserve"> ECT.</w:t>
      </w:r>
    </w:p>
    <w:p w14:paraId="4728D938" w14:textId="052201CE" w:rsidR="00D23858" w:rsidRDefault="00D23858" w:rsidP="009505D2">
      <w:pPr>
        <w:spacing w:before="40" w:after="40" w:line="240" w:lineRule="auto"/>
        <w:rPr>
          <w:color w:val="000000"/>
          <w:lang w:eastAsia="en-GB"/>
        </w:rPr>
      </w:pPr>
    </w:p>
    <w:p w14:paraId="04ABE1C1" w14:textId="051F6806" w:rsidR="00D23858" w:rsidRDefault="00D42640" w:rsidP="009505D2">
      <w:pPr>
        <w:spacing w:before="40" w:after="40" w:line="240" w:lineRule="auto"/>
        <w:rPr>
          <w:color w:val="000000"/>
          <w:lang w:eastAsia="en-GB"/>
        </w:rPr>
      </w:pPr>
      <w:r>
        <w:rPr>
          <w:color w:val="000000"/>
          <w:lang w:eastAsia="en-GB"/>
        </w:rPr>
        <w:t>2.06.2</w:t>
      </w:r>
      <w:r>
        <w:rPr>
          <w:color w:val="000000"/>
          <w:lang w:eastAsia="en-GB"/>
        </w:rPr>
        <w:tab/>
      </w:r>
      <w:r w:rsidR="00D23858" w:rsidRPr="00E64BF9">
        <w:rPr>
          <w:lang w:eastAsia="en-GB"/>
        </w:rPr>
        <w:t>TWC2</w:t>
      </w:r>
      <w:r w:rsidR="00C05BF7" w:rsidRPr="00E64BF9">
        <w:rPr>
          <w:lang w:eastAsia="en-GB"/>
        </w:rPr>
        <w:t xml:space="preserve"> and HOME</w:t>
      </w:r>
      <w:r w:rsidR="00D23858" w:rsidRPr="00E64BF9">
        <w:rPr>
          <w:lang w:eastAsia="en-GB"/>
        </w:rPr>
        <w:t xml:space="preserve"> ha</w:t>
      </w:r>
      <w:r w:rsidR="00C05BF7" w:rsidRPr="00E64BF9">
        <w:rPr>
          <w:lang w:eastAsia="en-GB"/>
        </w:rPr>
        <w:t>ve</w:t>
      </w:r>
      <w:r w:rsidR="00D23858" w:rsidRPr="00E64BF9">
        <w:rPr>
          <w:lang w:eastAsia="en-GB"/>
        </w:rPr>
        <w:t xml:space="preserve"> observed that </w:t>
      </w:r>
      <w:r w:rsidR="004D1886" w:rsidRPr="00E64BF9">
        <w:rPr>
          <w:lang w:eastAsia="en-GB"/>
        </w:rPr>
        <w:t>the</w:t>
      </w:r>
      <w:r w:rsidR="00CA75E5" w:rsidRPr="00E64BF9">
        <w:rPr>
          <w:lang w:eastAsia="en-GB"/>
        </w:rPr>
        <w:t xml:space="preserve"> “advice”</w:t>
      </w:r>
      <w:r w:rsidR="004D1886" w:rsidRPr="00E64BF9">
        <w:rPr>
          <w:lang w:eastAsia="en-GB"/>
        </w:rPr>
        <w:t xml:space="preserve"> given by TADM officers is often perceived by</w:t>
      </w:r>
      <w:r w:rsidR="00CA75E5" w:rsidRPr="00E64BF9">
        <w:rPr>
          <w:lang w:eastAsia="en-GB"/>
        </w:rPr>
        <w:t xml:space="preserve"> workers as pressure to modify their claims in certain ways against their will</w:t>
      </w:r>
      <w:r w:rsidR="00E64BF9" w:rsidRPr="00E64BF9">
        <w:rPr>
          <w:lang w:eastAsia="en-GB"/>
        </w:rPr>
        <w:t>. M</w:t>
      </w:r>
      <w:r w:rsidR="00CA75E5" w:rsidRPr="00E64BF9">
        <w:rPr>
          <w:lang w:eastAsia="en-GB"/>
        </w:rPr>
        <w:t xml:space="preserve">ore seriously, </w:t>
      </w:r>
      <w:r w:rsidR="00E64BF9" w:rsidRPr="00E64BF9">
        <w:rPr>
          <w:lang w:eastAsia="en-GB"/>
        </w:rPr>
        <w:t xml:space="preserve">we have seen </w:t>
      </w:r>
      <w:r w:rsidR="00CA75E5" w:rsidRPr="00E64BF9">
        <w:rPr>
          <w:lang w:eastAsia="en-GB"/>
        </w:rPr>
        <w:t xml:space="preserve">resistance </w:t>
      </w:r>
      <w:r w:rsidR="00B40A5D" w:rsidRPr="00E64BF9">
        <w:rPr>
          <w:lang w:eastAsia="en-GB"/>
        </w:rPr>
        <w:t>to including</w:t>
      </w:r>
      <w:r w:rsidR="00CA75E5" w:rsidRPr="00E64BF9">
        <w:rPr>
          <w:lang w:eastAsia="en-GB"/>
        </w:rPr>
        <w:t xml:space="preserve"> elements of the worker’s </w:t>
      </w:r>
      <w:r w:rsidR="00B40A5D" w:rsidRPr="00E64BF9">
        <w:rPr>
          <w:lang w:eastAsia="en-GB"/>
        </w:rPr>
        <w:t xml:space="preserve">complaint in the </w:t>
      </w:r>
      <w:r w:rsidR="006639BE">
        <w:rPr>
          <w:lang w:eastAsia="en-GB"/>
        </w:rPr>
        <w:t>CRC</w:t>
      </w:r>
      <w:r w:rsidR="00CA75E5" w:rsidRPr="00E64BF9">
        <w:rPr>
          <w:lang w:eastAsia="en-GB"/>
        </w:rPr>
        <w:t>, e.g. salary in lieu of notice, damages for unfair dismissal, allowances, etc. Since the ECT will not hear arguments over items that are not found in the CRC, the omission of selected elements of the worker’s claim from th</w:t>
      </w:r>
      <w:r w:rsidR="006639BE">
        <w:rPr>
          <w:lang w:eastAsia="en-GB"/>
        </w:rPr>
        <w:t>is document</w:t>
      </w:r>
      <w:r w:rsidR="00CA75E5" w:rsidRPr="00E64BF9">
        <w:rPr>
          <w:lang w:eastAsia="en-GB"/>
        </w:rPr>
        <w:t xml:space="preserve"> effectively </w:t>
      </w:r>
      <w:r w:rsidR="006639BE">
        <w:rPr>
          <w:lang w:eastAsia="en-GB"/>
        </w:rPr>
        <w:t>denies</w:t>
      </w:r>
      <w:r w:rsidR="00CA75E5" w:rsidRPr="00E64BF9">
        <w:rPr>
          <w:lang w:eastAsia="en-GB"/>
        </w:rPr>
        <w:t xml:space="preserve"> redress for th</w:t>
      </w:r>
      <w:r w:rsidR="006639BE">
        <w:rPr>
          <w:lang w:eastAsia="en-GB"/>
        </w:rPr>
        <w:t>e</w:t>
      </w:r>
      <w:r w:rsidR="00CA75E5" w:rsidRPr="00E64BF9">
        <w:rPr>
          <w:lang w:eastAsia="en-GB"/>
        </w:rPr>
        <w:t>se portions of the claim</w:t>
      </w:r>
      <w:r w:rsidR="00735F8F">
        <w:rPr>
          <w:rStyle w:val="EndnoteReference"/>
          <w:color w:val="000000"/>
          <w:lang w:eastAsia="en-GB"/>
        </w:rPr>
        <w:endnoteReference w:id="24"/>
      </w:r>
      <w:r w:rsidR="00CA75E5">
        <w:rPr>
          <w:color w:val="000000"/>
          <w:lang w:eastAsia="en-GB"/>
        </w:rPr>
        <w:t>.</w:t>
      </w:r>
    </w:p>
    <w:p w14:paraId="1B5A39C1" w14:textId="77777777" w:rsidR="00631DA9" w:rsidRDefault="00631DA9" w:rsidP="009505D2">
      <w:pPr>
        <w:spacing w:before="40" w:after="40" w:line="240" w:lineRule="auto"/>
        <w:rPr>
          <w:color w:val="000000"/>
          <w:lang w:eastAsia="en-GB"/>
        </w:rPr>
      </w:pPr>
    </w:p>
    <w:p w14:paraId="5B8994AD" w14:textId="48199EB1" w:rsidR="00631DA9" w:rsidRDefault="00631DA9" w:rsidP="009505D2">
      <w:pPr>
        <w:spacing w:before="40" w:after="40" w:line="240" w:lineRule="auto"/>
        <w:rPr>
          <w:color w:val="000000"/>
          <w:lang w:eastAsia="en-GB"/>
        </w:rPr>
      </w:pPr>
    </w:p>
    <w:p w14:paraId="19E9D115" w14:textId="2A6DBBED" w:rsidR="00631DA9" w:rsidRPr="003D1566" w:rsidRDefault="00631DA9" w:rsidP="009505D2">
      <w:pPr>
        <w:spacing w:before="40" w:after="40" w:line="240" w:lineRule="auto"/>
        <w:rPr>
          <w:b/>
          <w:bCs/>
          <w:color w:val="000000"/>
          <w:sz w:val="24"/>
          <w:szCs w:val="24"/>
          <w:lang w:eastAsia="en-GB"/>
        </w:rPr>
      </w:pPr>
      <w:r w:rsidRPr="003D1566">
        <w:rPr>
          <w:b/>
          <w:bCs/>
          <w:color w:val="000000"/>
          <w:sz w:val="24"/>
          <w:szCs w:val="24"/>
          <w:lang w:eastAsia="en-GB"/>
        </w:rPr>
        <w:t>SW-07. Processes at Employment Claims Tribunal present multiple barriers to migrant workers</w:t>
      </w:r>
    </w:p>
    <w:p w14:paraId="70993B03" w14:textId="77777777" w:rsidR="009505D2" w:rsidRDefault="009505D2" w:rsidP="009505D2">
      <w:pPr>
        <w:spacing w:before="40" w:after="40" w:line="240" w:lineRule="auto"/>
        <w:rPr>
          <w:rFonts w:eastAsia="Times New Roman" w:cstheme="minorHAnsi"/>
          <w:lang w:bidi="ta-IN"/>
        </w:rPr>
      </w:pPr>
    </w:p>
    <w:p w14:paraId="43ADFE97" w14:textId="26A3E344" w:rsidR="00AB0B88" w:rsidRDefault="00D42640" w:rsidP="009505D2">
      <w:pPr>
        <w:spacing w:before="40" w:after="40" w:line="240" w:lineRule="auto"/>
        <w:rPr>
          <w:rFonts w:eastAsia="Times New Roman" w:cstheme="minorHAnsi"/>
          <w:lang w:bidi="ta-IN"/>
        </w:rPr>
      </w:pPr>
      <w:r>
        <w:rPr>
          <w:rFonts w:eastAsia="Times New Roman" w:cstheme="minorHAnsi"/>
          <w:lang w:bidi="ta-IN"/>
        </w:rPr>
        <w:t>2.07.1</w:t>
      </w:r>
      <w:r>
        <w:rPr>
          <w:rFonts w:eastAsia="Times New Roman" w:cstheme="minorHAnsi"/>
          <w:lang w:bidi="ta-IN"/>
        </w:rPr>
        <w:tab/>
      </w:r>
      <w:r w:rsidR="00E64BF9">
        <w:rPr>
          <w:rFonts w:eastAsia="Times New Roman" w:cstheme="minorHAnsi"/>
          <w:lang w:bidi="ta-IN"/>
        </w:rPr>
        <w:t>E</w:t>
      </w:r>
      <w:r w:rsidR="00AF10E6">
        <w:rPr>
          <w:rFonts w:eastAsia="Times New Roman" w:cstheme="minorHAnsi"/>
          <w:lang w:bidi="ta-IN"/>
        </w:rPr>
        <w:t xml:space="preserve">mployment </w:t>
      </w:r>
      <w:r w:rsidR="00E64BF9">
        <w:rPr>
          <w:rFonts w:eastAsia="Times New Roman" w:cstheme="minorHAnsi"/>
          <w:lang w:bidi="ta-IN"/>
        </w:rPr>
        <w:t>disputes,</w:t>
      </w:r>
      <w:r w:rsidR="00AF10E6">
        <w:rPr>
          <w:rFonts w:eastAsia="Times New Roman" w:cstheme="minorHAnsi"/>
          <w:lang w:bidi="ta-IN"/>
        </w:rPr>
        <w:t xml:space="preserve"> unresolved at the mediation stage, are escalated to the E</w:t>
      </w:r>
      <w:r w:rsidR="00E64BF9">
        <w:rPr>
          <w:rFonts w:eastAsia="Times New Roman" w:cstheme="minorHAnsi"/>
          <w:lang w:bidi="ta-IN"/>
        </w:rPr>
        <w:t>CT</w:t>
      </w:r>
      <w:r w:rsidR="00AF10E6">
        <w:rPr>
          <w:rFonts w:eastAsia="Times New Roman" w:cstheme="minorHAnsi"/>
          <w:lang w:bidi="ta-IN"/>
        </w:rPr>
        <w:t xml:space="preserve"> which adjudicates claims. The filing procedure at the ECT is formal</w:t>
      </w:r>
      <w:r w:rsidR="00AB0B88">
        <w:rPr>
          <w:rFonts w:eastAsia="Times New Roman" w:cstheme="minorHAnsi"/>
          <w:lang w:bidi="ta-IN"/>
        </w:rPr>
        <w:t xml:space="preserve"> and laby</w:t>
      </w:r>
      <w:r w:rsidR="00AF10E6" w:rsidRPr="00AF10E6">
        <w:rPr>
          <w:rFonts w:eastAsia="Times New Roman" w:cstheme="minorHAnsi"/>
          <w:lang w:bidi="ta-IN"/>
        </w:rPr>
        <w:t>rinthine</w:t>
      </w:r>
      <w:r w:rsidR="00AB0B88">
        <w:rPr>
          <w:rFonts w:eastAsia="Times New Roman" w:cstheme="minorHAnsi"/>
          <w:lang w:bidi="ta-IN"/>
        </w:rPr>
        <w:t xml:space="preserve">, requiring a high level of legal literacy. Because filing can only be done online and in English, </w:t>
      </w:r>
      <w:r w:rsidR="00AF10E6" w:rsidRPr="00AF10E6">
        <w:rPr>
          <w:rFonts w:eastAsia="Times New Roman" w:cstheme="minorHAnsi"/>
          <w:lang w:bidi="ta-IN"/>
        </w:rPr>
        <w:t>digital literacy</w:t>
      </w:r>
      <w:r w:rsidR="006639BE">
        <w:rPr>
          <w:rFonts w:eastAsia="Times New Roman" w:cstheme="minorHAnsi"/>
          <w:lang w:bidi="ta-IN"/>
        </w:rPr>
        <w:t>,</w:t>
      </w:r>
      <w:r w:rsidR="00AB0B88">
        <w:rPr>
          <w:rFonts w:eastAsia="Times New Roman" w:cstheme="minorHAnsi"/>
          <w:lang w:bidi="ta-IN"/>
        </w:rPr>
        <w:t xml:space="preserve"> suitable </w:t>
      </w:r>
      <w:proofErr w:type="gramStart"/>
      <w:r w:rsidR="00AB0B88">
        <w:rPr>
          <w:rFonts w:eastAsia="Times New Roman" w:cstheme="minorHAnsi"/>
          <w:lang w:bidi="ta-IN"/>
        </w:rPr>
        <w:t>hardware</w:t>
      </w:r>
      <w:proofErr w:type="gramEnd"/>
      <w:r w:rsidR="006639BE">
        <w:rPr>
          <w:rFonts w:eastAsia="Times New Roman" w:cstheme="minorHAnsi"/>
          <w:lang w:bidi="ta-IN"/>
        </w:rPr>
        <w:t xml:space="preserve"> and fluency in English are needed</w:t>
      </w:r>
      <w:r w:rsidR="00AB0B88">
        <w:rPr>
          <w:rFonts w:eastAsia="Times New Roman" w:cstheme="minorHAnsi"/>
          <w:lang w:bidi="ta-IN"/>
        </w:rPr>
        <w:t xml:space="preserve"> to accomplish the task</w:t>
      </w:r>
      <w:r w:rsidR="006639BE">
        <w:rPr>
          <w:rFonts w:eastAsia="Times New Roman" w:cstheme="minorHAnsi"/>
          <w:lang w:bidi="ta-IN"/>
        </w:rPr>
        <w:t xml:space="preserve"> --</w:t>
      </w:r>
      <w:r w:rsidR="00AB0B88">
        <w:rPr>
          <w:rFonts w:eastAsia="Times New Roman" w:cstheme="minorHAnsi"/>
          <w:lang w:bidi="ta-IN"/>
        </w:rPr>
        <w:t xml:space="preserve"> none of which would generally be the case for low-wage migrant workers.</w:t>
      </w:r>
    </w:p>
    <w:p w14:paraId="7CA040EB" w14:textId="77777777" w:rsidR="009505D2" w:rsidRDefault="009505D2" w:rsidP="009505D2">
      <w:pPr>
        <w:spacing w:before="40" w:after="40" w:line="240" w:lineRule="auto"/>
        <w:rPr>
          <w:rFonts w:eastAsia="Times New Roman" w:cstheme="minorHAnsi"/>
          <w:lang w:bidi="ta-IN"/>
        </w:rPr>
      </w:pPr>
    </w:p>
    <w:p w14:paraId="628A46CF" w14:textId="4179E703" w:rsidR="00AB0B88" w:rsidRDefault="00D42640" w:rsidP="009505D2">
      <w:pPr>
        <w:spacing w:before="40" w:after="40" w:line="240" w:lineRule="auto"/>
        <w:rPr>
          <w:rFonts w:eastAsia="Times New Roman" w:cstheme="minorHAnsi"/>
          <w:lang w:bidi="ta-IN"/>
        </w:rPr>
      </w:pPr>
      <w:r>
        <w:rPr>
          <w:rFonts w:eastAsia="Times New Roman" w:cstheme="minorHAnsi"/>
          <w:lang w:bidi="ta-IN"/>
        </w:rPr>
        <w:t>2.07.2</w:t>
      </w:r>
      <w:r>
        <w:rPr>
          <w:rFonts w:eastAsia="Times New Roman" w:cstheme="minorHAnsi"/>
          <w:lang w:bidi="ta-IN"/>
        </w:rPr>
        <w:tab/>
      </w:r>
      <w:r w:rsidR="00AF10E6" w:rsidRPr="00AF10E6">
        <w:rPr>
          <w:rFonts w:eastAsia="Times New Roman" w:cstheme="minorHAnsi"/>
          <w:lang w:bidi="ta-IN"/>
        </w:rPr>
        <w:t>Most workers become completely dependent on the instructions of court or ministry officers; or, if available, the help of</w:t>
      </w:r>
      <w:r w:rsidR="00AB0B88">
        <w:rPr>
          <w:rFonts w:eastAsia="Times New Roman" w:cstheme="minorHAnsi"/>
          <w:lang w:bidi="ta-IN"/>
        </w:rPr>
        <w:t xml:space="preserve"> civil society organisations. Yet, some workers have reported that government officials discourage them for seeking help from civil society organisations.</w:t>
      </w:r>
    </w:p>
    <w:p w14:paraId="0A7ECFC6" w14:textId="77777777" w:rsidR="009505D2" w:rsidRDefault="009505D2" w:rsidP="009505D2">
      <w:pPr>
        <w:spacing w:before="40" w:after="40" w:line="240" w:lineRule="auto"/>
        <w:rPr>
          <w:rFonts w:eastAsia="Times New Roman" w:cstheme="minorHAnsi"/>
          <w:lang w:bidi="ta-IN"/>
        </w:rPr>
      </w:pPr>
    </w:p>
    <w:p w14:paraId="0DD2117B" w14:textId="0B391C1B" w:rsidR="00AB0B88" w:rsidRDefault="00D42640" w:rsidP="009505D2">
      <w:pPr>
        <w:spacing w:before="40" w:after="40" w:line="240" w:lineRule="auto"/>
        <w:rPr>
          <w:rFonts w:eastAsia="Times New Roman" w:cstheme="minorHAnsi"/>
          <w:lang w:bidi="ta-IN"/>
        </w:rPr>
      </w:pPr>
      <w:r>
        <w:rPr>
          <w:rFonts w:eastAsia="Times New Roman" w:cstheme="minorHAnsi"/>
          <w:lang w:bidi="ta-IN"/>
        </w:rPr>
        <w:t>2.07.3</w:t>
      </w:r>
      <w:r>
        <w:rPr>
          <w:rFonts w:eastAsia="Times New Roman" w:cstheme="minorHAnsi"/>
          <w:lang w:bidi="ta-IN"/>
        </w:rPr>
        <w:tab/>
      </w:r>
      <w:r w:rsidR="00AB0B88">
        <w:rPr>
          <w:rFonts w:eastAsia="Times New Roman" w:cstheme="minorHAnsi"/>
          <w:lang w:bidi="ta-IN"/>
        </w:rPr>
        <w:t>W</w:t>
      </w:r>
      <w:r w:rsidR="00AF10E6" w:rsidRPr="00AF10E6">
        <w:rPr>
          <w:rFonts w:eastAsia="Times New Roman" w:cstheme="minorHAnsi"/>
          <w:lang w:bidi="ta-IN"/>
        </w:rPr>
        <w:t xml:space="preserve">orkers become stripped of agency, </w:t>
      </w:r>
      <w:proofErr w:type="gramStart"/>
      <w:r w:rsidR="00AF10E6" w:rsidRPr="00AF10E6">
        <w:rPr>
          <w:rFonts w:eastAsia="Times New Roman" w:cstheme="minorHAnsi"/>
          <w:lang w:bidi="ta-IN"/>
        </w:rPr>
        <w:t>autonomy</w:t>
      </w:r>
      <w:proofErr w:type="gramEnd"/>
      <w:r w:rsidR="00AF10E6" w:rsidRPr="00AF10E6">
        <w:rPr>
          <w:rFonts w:eastAsia="Times New Roman" w:cstheme="minorHAnsi"/>
          <w:lang w:bidi="ta-IN"/>
        </w:rPr>
        <w:t xml:space="preserve"> and empowerment to take the case forward themselves, to choose their options and to decide exactly how to pr</w:t>
      </w:r>
      <w:r w:rsidR="006639BE">
        <w:rPr>
          <w:rFonts w:eastAsia="Times New Roman" w:cstheme="minorHAnsi"/>
          <w:lang w:bidi="ta-IN"/>
        </w:rPr>
        <w:t>oceed.</w:t>
      </w:r>
      <w:r w:rsidR="00AF10E6" w:rsidRPr="00AF10E6">
        <w:rPr>
          <w:rFonts w:eastAsia="Times New Roman" w:cstheme="minorHAnsi"/>
          <w:lang w:bidi="ta-IN"/>
        </w:rPr>
        <w:t xml:space="preserve"> This is completely at odds with the systemic and structural assumptions of an adversarial adjudication model.  </w:t>
      </w:r>
    </w:p>
    <w:p w14:paraId="12548211" w14:textId="77777777" w:rsidR="009505D2" w:rsidRDefault="009505D2" w:rsidP="009505D2">
      <w:pPr>
        <w:spacing w:before="40" w:after="40" w:line="240" w:lineRule="auto"/>
        <w:rPr>
          <w:rFonts w:eastAsia="Times New Roman" w:cstheme="minorHAnsi"/>
          <w:lang w:bidi="ta-IN"/>
        </w:rPr>
      </w:pPr>
    </w:p>
    <w:p w14:paraId="2E9AB0E1" w14:textId="48695469" w:rsidR="00AB0B88" w:rsidRDefault="00D42640" w:rsidP="009505D2">
      <w:pPr>
        <w:spacing w:before="40" w:after="40" w:line="240" w:lineRule="auto"/>
        <w:rPr>
          <w:rFonts w:eastAsia="Times New Roman" w:cstheme="minorHAnsi"/>
          <w:lang w:bidi="ta-IN"/>
        </w:rPr>
      </w:pPr>
      <w:r>
        <w:rPr>
          <w:rFonts w:eastAsia="Times New Roman" w:cstheme="minorHAnsi"/>
          <w:lang w:bidi="ta-IN"/>
        </w:rPr>
        <w:t>2.07.4</w:t>
      </w:r>
      <w:r>
        <w:rPr>
          <w:rFonts w:eastAsia="Times New Roman" w:cstheme="minorHAnsi"/>
          <w:lang w:bidi="ta-IN"/>
        </w:rPr>
        <w:tab/>
      </w:r>
      <w:r w:rsidR="00AB0B88">
        <w:rPr>
          <w:rFonts w:eastAsia="Times New Roman" w:cstheme="minorHAnsi"/>
          <w:lang w:bidi="ta-IN"/>
        </w:rPr>
        <w:t>Not only are p</w:t>
      </w:r>
      <w:r w:rsidR="00AB0B88" w:rsidRPr="00AB0B88">
        <w:rPr>
          <w:rFonts w:eastAsia="Times New Roman" w:cstheme="minorHAnsi"/>
          <w:lang w:bidi="ta-IN"/>
        </w:rPr>
        <w:t>roceedings in English</w:t>
      </w:r>
      <w:r w:rsidR="00AB0B88">
        <w:rPr>
          <w:rFonts w:eastAsia="Times New Roman" w:cstheme="minorHAnsi"/>
          <w:lang w:bidi="ta-IN"/>
        </w:rPr>
        <w:t xml:space="preserve"> – which disempowers and disadvantages workers --  </w:t>
      </w:r>
      <w:r w:rsidR="00AB0B88" w:rsidRPr="00AB0B88">
        <w:rPr>
          <w:rFonts w:eastAsia="Times New Roman" w:cstheme="minorHAnsi"/>
          <w:lang w:bidi="ta-IN"/>
        </w:rPr>
        <w:t>as the ECT has become more formalised and the procedures more "document-</w:t>
      </w:r>
      <w:proofErr w:type="spellStart"/>
      <w:r w:rsidR="00AB0B88" w:rsidRPr="00AB0B88">
        <w:rPr>
          <w:rFonts w:eastAsia="Times New Roman" w:cstheme="minorHAnsi"/>
          <w:lang w:bidi="ta-IN"/>
        </w:rPr>
        <w:t>ised</w:t>
      </w:r>
      <w:proofErr w:type="spellEnd"/>
      <w:r w:rsidR="00AB0B88" w:rsidRPr="00AB0B88">
        <w:rPr>
          <w:rFonts w:eastAsia="Times New Roman" w:cstheme="minorHAnsi"/>
          <w:lang w:bidi="ta-IN"/>
        </w:rPr>
        <w:t xml:space="preserve">" over the few years of its operation, </w:t>
      </w:r>
      <w:r w:rsidR="00AB0B88">
        <w:rPr>
          <w:rFonts w:eastAsia="Times New Roman" w:cstheme="minorHAnsi"/>
          <w:lang w:bidi="ta-IN"/>
        </w:rPr>
        <w:t>th</w:t>
      </w:r>
      <w:r w:rsidR="00AB0B88" w:rsidRPr="00AB0B88">
        <w:rPr>
          <w:rFonts w:eastAsia="Times New Roman" w:cstheme="minorHAnsi"/>
          <w:lang w:bidi="ta-IN"/>
        </w:rPr>
        <w:t xml:space="preserve">e process has tilted towards </w:t>
      </w:r>
      <w:r w:rsidR="00AB0B88">
        <w:rPr>
          <w:rFonts w:eastAsia="Times New Roman" w:cstheme="minorHAnsi"/>
          <w:lang w:bidi="ta-IN"/>
        </w:rPr>
        <w:t>written submissions. At</w:t>
      </w:r>
      <w:r w:rsidR="00AB0B88" w:rsidRPr="00AB0B88">
        <w:rPr>
          <w:rFonts w:eastAsia="Times New Roman" w:cstheme="minorHAnsi"/>
          <w:lang w:bidi="ta-IN"/>
        </w:rPr>
        <w:t xml:space="preserve"> oral hearing</w:t>
      </w:r>
      <w:r w:rsidR="00AB0B88">
        <w:rPr>
          <w:rFonts w:eastAsia="Times New Roman" w:cstheme="minorHAnsi"/>
          <w:lang w:bidi="ta-IN"/>
        </w:rPr>
        <w:t>s, interpretation, however imperfect and inadequate</w:t>
      </w:r>
      <w:r w:rsidR="00D51459">
        <w:rPr>
          <w:rFonts w:eastAsia="Times New Roman" w:cstheme="minorHAnsi"/>
          <w:lang w:bidi="ta-IN"/>
        </w:rPr>
        <w:t>, had been mostly available, but more and mor</w:t>
      </w:r>
      <w:r w:rsidR="002C3A20">
        <w:rPr>
          <w:rFonts w:eastAsia="Times New Roman" w:cstheme="minorHAnsi"/>
          <w:lang w:bidi="ta-IN"/>
        </w:rPr>
        <w:t>e, the ECT has been asking for “Hearing statements” in written form</w:t>
      </w:r>
      <w:r w:rsidR="00D51459">
        <w:rPr>
          <w:rFonts w:eastAsia="Times New Roman" w:cstheme="minorHAnsi"/>
          <w:lang w:bidi="ta-IN"/>
        </w:rPr>
        <w:t xml:space="preserve">, thus emasculating the migrant worker and </w:t>
      </w:r>
      <w:r w:rsidR="006639BE">
        <w:rPr>
          <w:rFonts w:eastAsia="Times New Roman" w:cstheme="minorHAnsi"/>
          <w:lang w:bidi="ta-IN"/>
        </w:rPr>
        <w:t>compromising</w:t>
      </w:r>
      <w:r w:rsidR="00D51459">
        <w:rPr>
          <w:rFonts w:eastAsia="Times New Roman" w:cstheme="minorHAnsi"/>
          <w:lang w:bidi="ta-IN"/>
        </w:rPr>
        <w:t xml:space="preserve"> access to justice.</w:t>
      </w:r>
    </w:p>
    <w:p w14:paraId="7A8B9FC2" w14:textId="77777777" w:rsidR="009505D2" w:rsidRDefault="009505D2" w:rsidP="009505D2">
      <w:pPr>
        <w:spacing w:before="40" w:after="40" w:line="240" w:lineRule="auto"/>
        <w:rPr>
          <w:rFonts w:eastAsia="Times New Roman" w:cstheme="minorHAnsi"/>
          <w:lang w:bidi="ta-IN"/>
        </w:rPr>
      </w:pPr>
    </w:p>
    <w:p w14:paraId="22ABF2CE" w14:textId="0BD8224E" w:rsidR="003D1566" w:rsidRDefault="00D42640" w:rsidP="009505D2">
      <w:pPr>
        <w:spacing w:before="40" w:after="40" w:line="240" w:lineRule="auto"/>
        <w:rPr>
          <w:rFonts w:eastAsia="Times New Roman" w:cstheme="minorHAnsi"/>
          <w:lang w:bidi="ta-IN"/>
        </w:rPr>
      </w:pPr>
      <w:r>
        <w:rPr>
          <w:rFonts w:eastAsia="Times New Roman" w:cstheme="minorHAnsi"/>
          <w:lang w:bidi="ta-IN"/>
        </w:rPr>
        <w:t>2.07.5</w:t>
      </w:r>
      <w:r>
        <w:rPr>
          <w:rFonts w:eastAsia="Times New Roman" w:cstheme="minorHAnsi"/>
          <w:lang w:bidi="ta-IN"/>
        </w:rPr>
        <w:tab/>
      </w:r>
      <w:r w:rsidR="005A4180">
        <w:rPr>
          <w:rFonts w:eastAsia="Times New Roman" w:cstheme="minorHAnsi"/>
          <w:lang w:bidi="ta-IN"/>
        </w:rPr>
        <w:t>Decisions of the ECT can only be appealed to the High Court on two narrow grounds, namely</w:t>
      </w:r>
      <w:r w:rsidR="006639BE">
        <w:rPr>
          <w:rFonts w:eastAsia="Times New Roman" w:cstheme="minorHAnsi"/>
          <w:lang w:bidi="ta-IN"/>
        </w:rPr>
        <w:t>:</w:t>
      </w:r>
      <w:r w:rsidR="005A4180">
        <w:rPr>
          <w:rFonts w:eastAsia="Times New Roman" w:cstheme="minorHAnsi"/>
          <w:lang w:bidi="ta-IN"/>
        </w:rPr>
        <w:t xml:space="preserve"> </w:t>
      </w:r>
      <w:r w:rsidR="00F66F0D">
        <w:rPr>
          <w:rFonts w:eastAsia="Times New Roman" w:cstheme="minorHAnsi"/>
          <w:lang w:bidi="ta-IN"/>
        </w:rPr>
        <w:t xml:space="preserve">if there is </w:t>
      </w:r>
      <w:r w:rsidR="005A4180">
        <w:rPr>
          <w:rFonts w:eastAsia="Times New Roman" w:cstheme="minorHAnsi"/>
          <w:lang w:bidi="ta-IN"/>
        </w:rPr>
        <w:t xml:space="preserve">a question of law, or that the claim </w:t>
      </w:r>
      <w:r w:rsidR="00F66F0D">
        <w:rPr>
          <w:rFonts w:eastAsia="Times New Roman" w:cstheme="minorHAnsi"/>
          <w:lang w:bidi="ta-IN"/>
        </w:rPr>
        <w:t>is</w:t>
      </w:r>
      <w:r w:rsidR="005A4180">
        <w:rPr>
          <w:rFonts w:eastAsia="Times New Roman" w:cstheme="minorHAnsi"/>
          <w:lang w:bidi="ta-IN"/>
        </w:rPr>
        <w:t xml:space="preserve"> outside the jurisdiction of the ECT</w:t>
      </w:r>
      <w:r w:rsidR="005A4180">
        <w:rPr>
          <w:rStyle w:val="EndnoteReference"/>
          <w:rFonts w:eastAsia="Times New Roman" w:cstheme="minorHAnsi"/>
          <w:lang w:bidi="ta-IN"/>
        </w:rPr>
        <w:endnoteReference w:id="25"/>
      </w:r>
      <w:r w:rsidR="005A4180">
        <w:rPr>
          <w:rFonts w:eastAsia="Times New Roman" w:cstheme="minorHAnsi"/>
          <w:lang w:bidi="ta-IN"/>
        </w:rPr>
        <w:t xml:space="preserve">. The former means that where the law on an issue is settled law (and therefore there is no question of law), even if the ECT has misapplied the law, no avenue of appeal is available. TWC2 </w:t>
      </w:r>
      <w:r w:rsidR="00C05BF7">
        <w:rPr>
          <w:rFonts w:eastAsia="Times New Roman" w:cstheme="minorHAnsi"/>
          <w:lang w:bidi="ta-IN"/>
        </w:rPr>
        <w:t xml:space="preserve">and HOME have handled several </w:t>
      </w:r>
      <w:r w:rsidR="005A4180">
        <w:rPr>
          <w:rFonts w:eastAsia="Times New Roman" w:cstheme="minorHAnsi"/>
          <w:lang w:bidi="ta-IN"/>
        </w:rPr>
        <w:t>case</w:t>
      </w:r>
      <w:r w:rsidR="00C05BF7">
        <w:rPr>
          <w:rFonts w:eastAsia="Times New Roman" w:cstheme="minorHAnsi"/>
          <w:lang w:bidi="ta-IN"/>
        </w:rPr>
        <w:t>s</w:t>
      </w:r>
      <w:r w:rsidR="005A4180">
        <w:rPr>
          <w:rFonts w:eastAsia="Times New Roman" w:cstheme="minorHAnsi"/>
          <w:lang w:bidi="ta-IN"/>
        </w:rPr>
        <w:t xml:space="preserve"> that </w:t>
      </w:r>
      <w:r w:rsidR="00C05BF7">
        <w:rPr>
          <w:rFonts w:eastAsia="Times New Roman" w:cstheme="minorHAnsi"/>
          <w:lang w:bidi="ta-IN"/>
        </w:rPr>
        <w:t>were stymied by this barrier</w:t>
      </w:r>
      <w:r w:rsidR="005A4180">
        <w:rPr>
          <w:rStyle w:val="EndnoteReference"/>
          <w:rFonts w:eastAsia="Times New Roman" w:cstheme="minorHAnsi"/>
          <w:lang w:bidi="ta-IN"/>
        </w:rPr>
        <w:endnoteReference w:id="26"/>
      </w:r>
      <w:r w:rsidR="005A4180">
        <w:rPr>
          <w:rFonts w:eastAsia="Times New Roman" w:cstheme="minorHAnsi"/>
          <w:lang w:bidi="ta-IN"/>
        </w:rPr>
        <w:t>.</w:t>
      </w:r>
    </w:p>
    <w:p w14:paraId="4F44C6B8" w14:textId="77777777" w:rsidR="003D1566" w:rsidRDefault="003D1566" w:rsidP="009505D2">
      <w:pPr>
        <w:spacing w:before="40" w:after="40" w:line="240" w:lineRule="auto"/>
        <w:rPr>
          <w:rFonts w:eastAsia="Times New Roman" w:cstheme="minorHAnsi"/>
          <w:lang w:bidi="ta-IN"/>
        </w:rPr>
      </w:pPr>
    </w:p>
    <w:p w14:paraId="2E4BCC4F" w14:textId="77777777" w:rsidR="003D1566" w:rsidRDefault="003D1566" w:rsidP="009505D2">
      <w:pPr>
        <w:spacing w:before="40" w:after="40" w:line="240" w:lineRule="auto"/>
        <w:rPr>
          <w:rFonts w:eastAsia="Times New Roman" w:cstheme="minorHAnsi"/>
          <w:lang w:bidi="ta-IN"/>
        </w:rPr>
      </w:pPr>
    </w:p>
    <w:p w14:paraId="1AD7E0E8" w14:textId="398E9736" w:rsidR="000069F4" w:rsidRPr="003D1566" w:rsidRDefault="000069F4" w:rsidP="009505D2">
      <w:pPr>
        <w:spacing w:before="40" w:after="40" w:line="240" w:lineRule="auto"/>
        <w:rPr>
          <w:b/>
          <w:bCs/>
          <w:color w:val="000000"/>
          <w:sz w:val="24"/>
          <w:szCs w:val="24"/>
          <w:lang w:eastAsia="en-GB"/>
        </w:rPr>
      </w:pPr>
      <w:r w:rsidRPr="003D1566">
        <w:rPr>
          <w:b/>
          <w:bCs/>
          <w:color w:val="000000"/>
          <w:sz w:val="24"/>
          <w:szCs w:val="24"/>
          <w:lang w:eastAsia="en-GB"/>
        </w:rPr>
        <w:t>SW-0</w:t>
      </w:r>
      <w:r w:rsidR="00631DA9" w:rsidRPr="003D1566">
        <w:rPr>
          <w:b/>
          <w:bCs/>
          <w:color w:val="000000"/>
          <w:sz w:val="24"/>
          <w:szCs w:val="24"/>
          <w:lang w:eastAsia="en-GB"/>
        </w:rPr>
        <w:t>8</w:t>
      </w:r>
      <w:r w:rsidRPr="003D1566">
        <w:rPr>
          <w:b/>
          <w:bCs/>
          <w:color w:val="000000"/>
          <w:sz w:val="24"/>
          <w:szCs w:val="24"/>
          <w:lang w:eastAsia="en-GB"/>
        </w:rPr>
        <w:t>. No guarantee against repatriation for migrant workers with pending claims</w:t>
      </w:r>
    </w:p>
    <w:p w14:paraId="7D77F705" w14:textId="7E4C7505" w:rsidR="00F506A3" w:rsidRDefault="00F506A3" w:rsidP="009505D2">
      <w:pPr>
        <w:spacing w:before="40" w:after="40" w:line="240" w:lineRule="auto"/>
        <w:rPr>
          <w:color w:val="000000"/>
          <w:lang w:eastAsia="en-GB"/>
        </w:rPr>
      </w:pPr>
    </w:p>
    <w:p w14:paraId="60598C58" w14:textId="1353AA11" w:rsidR="005D6B7A" w:rsidRDefault="00D42640" w:rsidP="009505D2">
      <w:pPr>
        <w:spacing w:before="40" w:after="40" w:line="240" w:lineRule="auto"/>
        <w:rPr>
          <w:color w:val="000000"/>
          <w:lang w:eastAsia="en-GB"/>
        </w:rPr>
      </w:pPr>
      <w:r>
        <w:rPr>
          <w:color w:val="000000"/>
          <w:lang w:eastAsia="en-GB"/>
        </w:rPr>
        <w:t>2.08.1</w:t>
      </w:r>
      <w:r>
        <w:rPr>
          <w:color w:val="000000"/>
          <w:lang w:eastAsia="en-GB"/>
        </w:rPr>
        <w:tab/>
      </w:r>
      <w:r w:rsidR="000069F4">
        <w:rPr>
          <w:color w:val="000000"/>
          <w:lang w:eastAsia="en-GB"/>
        </w:rPr>
        <w:t>Migrant workers who are out of work but have salary, injury or other claims pending do not have a guaranteed right to stay to the conclusion of their cases. Generally, such workers are issued with Special Passes under the Immigration Act, which</w:t>
      </w:r>
      <w:r w:rsidR="006639BE">
        <w:rPr>
          <w:color w:val="000000"/>
          <w:lang w:eastAsia="en-GB"/>
        </w:rPr>
        <w:t xml:space="preserve"> forbids</w:t>
      </w:r>
      <w:r w:rsidR="000069F4">
        <w:rPr>
          <w:color w:val="000000"/>
          <w:lang w:eastAsia="en-GB"/>
        </w:rPr>
        <w:t xml:space="preserve"> the pass holder </w:t>
      </w:r>
      <w:r w:rsidR="006639BE">
        <w:rPr>
          <w:color w:val="000000"/>
          <w:lang w:eastAsia="en-GB"/>
        </w:rPr>
        <w:t>from taking</w:t>
      </w:r>
      <w:r w:rsidR="000069F4">
        <w:rPr>
          <w:color w:val="000000"/>
          <w:lang w:eastAsia="en-GB"/>
        </w:rPr>
        <w:t xml:space="preserve"> paid employment.</w:t>
      </w:r>
      <w:r w:rsidR="0025617B">
        <w:rPr>
          <w:color w:val="000000"/>
          <w:lang w:eastAsia="en-GB"/>
        </w:rPr>
        <w:t xml:space="preserve"> </w:t>
      </w:r>
      <w:r w:rsidR="002C3A20">
        <w:rPr>
          <w:color w:val="000000"/>
          <w:lang w:eastAsia="en-GB"/>
        </w:rPr>
        <w:t>Moreover</w:t>
      </w:r>
      <w:r w:rsidR="0025617B">
        <w:rPr>
          <w:color w:val="000000"/>
          <w:lang w:eastAsia="en-GB"/>
        </w:rPr>
        <w:t xml:space="preserve">, the issuance of Special Passes remains discretionary. </w:t>
      </w:r>
      <w:r w:rsidR="00F73E5B">
        <w:rPr>
          <w:color w:val="000000"/>
          <w:lang w:eastAsia="en-GB"/>
        </w:rPr>
        <w:t xml:space="preserve">A 2017 amendment to </w:t>
      </w:r>
      <w:r w:rsidR="00F73E5B">
        <w:rPr>
          <w:color w:val="000000"/>
          <w:lang w:eastAsia="en-GB"/>
        </w:rPr>
        <w:lastRenderedPageBreak/>
        <w:t>by-laws</w:t>
      </w:r>
      <w:r w:rsidR="00F73E5B">
        <w:rPr>
          <w:rStyle w:val="EndnoteReference"/>
          <w:color w:val="000000"/>
          <w:lang w:eastAsia="en-GB"/>
        </w:rPr>
        <w:endnoteReference w:id="27"/>
      </w:r>
      <w:r w:rsidR="00F73E5B">
        <w:rPr>
          <w:color w:val="000000"/>
          <w:lang w:eastAsia="en-GB"/>
        </w:rPr>
        <w:t xml:space="preserve"> only </w:t>
      </w:r>
      <w:proofErr w:type="gramStart"/>
      <w:r w:rsidR="006639BE">
        <w:rPr>
          <w:color w:val="000000"/>
          <w:lang w:eastAsia="en-GB"/>
        </w:rPr>
        <w:t>ban</w:t>
      </w:r>
      <w:proofErr w:type="gramEnd"/>
      <w:r w:rsidR="00F73E5B">
        <w:rPr>
          <w:color w:val="000000"/>
          <w:lang w:eastAsia="en-GB"/>
        </w:rPr>
        <w:t xml:space="preserve"> employers from repatriating workers with outstanding claims; no legislation </w:t>
      </w:r>
      <w:r w:rsidR="00234F3D">
        <w:rPr>
          <w:color w:val="000000"/>
          <w:lang w:eastAsia="en-GB"/>
        </w:rPr>
        <w:t>binds</w:t>
      </w:r>
      <w:r w:rsidR="00F73E5B">
        <w:rPr>
          <w:color w:val="000000"/>
          <w:lang w:eastAsia="en-GB"/>
        </w:rPr>
        <w:t xml:space="preserve"> the government from doing the same.</w:t>
      </w:r>
    </w:p>
    <w:p w14:paraId="6675E686" w14:textId="77777777" w:rsidR="009505D2" w:rsidRDefault="009505D2" w:rsidP="009505D2">
      <w:pPr>
        <w:spacing w:before="40" w:after="40" w:line="240" w:lineRule="auto"/>
        <w:rPr>
          <w:color w:val="000000"/>
          <w:lang w:eastAsia="en-GB"/>
        </w:rPr>
      </w:pPr>
    </w:p>
    <w:p w14:paraId="0070B0F7" w14:textId="4C3B6CD7" w:rsidR="0025617B" w:rsidRDefault="00D42640" w:rsidP="009505D2">
      <w:pPr>
        <w:spacing w:before="40" w:after="40" w:line="240" w:lineRule="auto"/>
        <w:rPr>
          <w:color w:val="000000"/>
          <w:lang w:eastAsia="en-GB"/>
        </w:rPr>
      </w:pPr>
      <w:r>
        <w:rPr>
          <w:color w:val="000000"/>
          <w:lang w:eastAsia="en-GB"/>
        </w:rPr>
        <w:t>2.08.2</w:t>
      </w:r>
      <w:r>
        <w:rPr>
          <w:color w:val="000000"/>
          <w:lang w:eastAsia="en-GB"/>
        </w:rPr>
        <w:tab/>
      </w:r>
      <w:r w:rsidR="000069F4">
        <w:rPr>
          <w:color w:val="000000"/>
          <w:lang w:eastAsia="en-GB"/>
        </w:rPr>
        <w:t xml:space="preserve">TWC2 and HOME have seen cases where the Special Passes have been revoked by the government when the worker is alleged to have committed some other infringement, e.g. </w:t>
      </w:r>
      <w:r w:rsidR="0025617B">
        <w:rPr>
          <w:color w:val="000000"/>
          <w:lang w:eastAsia="en-GB"/>
        </w:rPr>
        <w:t xml:space="preserve">engaging in work. Although it can be argued that </w:t>
      </w:r>
      <w:r w:rsidR="005D6B7A">
        <w:rPr>
          <w:color w:val="000000"/>
          <w:lang w:eastAsia="en-GB"/>
        </w:rPr>
        <w:t xml:space="preserve">since it is a stated condition of a Special Pass that the pass holder should not engage in work, and that </w:t>
      </w:r>
      <w:r w:rsidR="0025617B">
        <w:rPr>
          <w:color w:val="000000"/>
          <w:lang w:eastAsia="en-GB"/>
        </w:rPr>
        <w:t xml:space="preserve">violation of this condition should be sufficient </w:t>
      </w:r>
      <w:r w:rsidR="005D6B7A">
        <w:rPr>
          <w:color w:val="000000"/>
          <w:lang w:eastAsia="en-GB"/>
        </w:rPr>
        <w:t>justification</w:t>
      </w:r>
      <w:r w:rsidR="0025617B">
        <w:rPr>
          <w:color w:val="000000"/>
          <w:lang w:eastAsia="en-GB"/>
        </w:rPr>
        <w:t xml:space="preserve"> for revocation of the pass, such an argument ignores the reality that </w:t>
      </w:r>
      <w:r w:rsidR="005D6B7A">
        <w:rPr>
          <w:color w:val="000000"/>
          <w:lang w:eastAsia="en-GB"/>
        </w:rPr>
        <w:t xml:space="preserve">migrant </w:t>
      </w:r>
      <w:r w:rsidR="0025617B">
        <w:rPr>
          <w:color w:val="000000"/>
          <w:lang w:eastAsia="en-GB"/>
        </w:rPr>
        <w:t>workers with salary, injury or other</w:t>
      </w:r>
      <w:r w:rsidR="005D6B7A">
        <w:rPr>
          <w:color w:val="000000"/>
          <w:lang w:eastAsia="en-GB"/>
        </w:rPr>
        <w:t xml:space="preserve"> pending</w:t>
      </w:r>
      <w:r w:rsidR="0025617B">
        <w:rPr>
          <w:color w:val="000000"/>
          <w:lang w:eastAsia="en-GB"/>
        </w:rPr>
        <w:t xml:space="preserve"> claims</w:t>
      </w:r>
      <w:r w:rsidR="005D6B7A">
        <w:rPr>
          <w:color w:val="000000"/>
          <w:lang w:eastAsia="en-GB"/>
        </w:rPr>
        <w:t xml:space="preserve"> have no other source of income if disallowed from working. Their need for subsistence</w:t>
      </w:r>
      <w:r w:rsidR="00474F4F">
        <w:rPr>
          <w:color w:val="000000"/>
          <w:lang w:eastAsia="en-GB"/>
        </w:rPr>
        <w:t>, which compels them to seek work,</w:t>
      </w:r>
      <w:r w:rsidR="005D6B7A">
        <w:rPr>
          <w:color w:val="000000"/>
          <w:lang w:eastAsia="en-GB"/>
        </w:rPr>
        <w:t xml:space="preserve"> puts at risk their right to remedy of claims.</w:t>
      </w:r>
    </w:p>
    <w:p w14:paraId="50C9008F" w14:textId="4A275307" w:rsidR="005D6B7A" w:rsidRDefault="005D6B7A" w:rsidP="009505D2">
      <w:pPr>
        <w:spacing w:before="40" w:after="40" w:line="240" w:lineRule="auto"/>
        <w:rPr>
          <w:color w:val="000000"/>
          <w:lang w:eastAsia="en-GB"/>
        </w:rPr>
      </w:pPr>
    </w:p>
    <w:p w14:paraId="61A90EA7" w14:textId="62D10CE3" w:rsidR="005D6B7A" w:rsidRDefault="00D42640" w:rsidP="009505D2">
      <w:pPr>
        <w:spacing w:before="40" w:after="40" w:line="240" w:lineRule="auto"/>
        <w:rPr>
          <w:color w:val="000000"/>
          <w:lang w:eastAsia="en-GB"/>
        </w:rPr>
      </w:pPr>
      <w:r>
        <w:rPr>
          <w:color w:val="000000"/>
          <w:lang w:eastAsia="en-GB"/>
        </w:rPr>
        <w:t>2.08.3</w:t>
      </w:r>
      <w:r>
        <w:rPr>
          <w:color w:val="000000"/>
          <w:lang w:eastAsia="en-GB"/>
        </w:rPr>
        <w:tab/>
      </w:r>
      <w:r w:rsidR="005D6B7A">
        <w:rPr>
          <w:color w:val="000000"/>
          <w:lang w:eastAsia="en-GB"/>
        </w:rPr>
        <w:t>While there is legislation</w:t>
      </w:r>
      <w:r w:rsidR="005D6B7A">
        <w:rPr>
          <w:rStyle w:val="EndnoteReference"/>
          <w:color w:val="000000"/>
          <w:lang w:eastAsia="en-GB"/>
        </w:rPr>
        <w:endnoteReference w:id="28"/>
      </w:r>
      <w:r w:rsidR="00474F4F">
        <w:rPr>
          <w:color w:val="000000"/>
          <w:lang w:eastAsia="en-GB"/>
        </w:rPr>
        <w:t xml:space="preserve"> that requires employers to continue to provide accommodation, food and medical treatment to employees with pending claims until resolution of claims, these bare necessities, provided in kind, do not include any disposable income and are inconsistent with human dignity. </w:t>
      </w:r>
    </w:p>
    <w:p w14:paraId="2D55D7DD" w14:textId="5147118D" w:rsidR="00474F4F" w:rsidRDefault="00474F4F" w:rsidP="009505D2">
      <w:pPr>
        <w:spacing w:before="40" w:after="40" w:line="240" w:lineRule="auto"/>
        <w:rPr>
          <w:color w:val="000000"/>
          <w:lang w:eastAsia="en-GB"/>
        </w:rPr>
      </w:pPr>
    </w:p>
    <w:p w14:paraId="2E792704" w14:textId="0AB7F722" w:rsidR="00474F4F" w:rsidRDefault="00D42640" w:rsidP="009505D2">
      <w:pPr>
        <w:spacing w:before="40" w:after="40" w:line="240" w:lineRule="auto"/>
        <w:rPr>
          <w:color w:val="000000"/>
          <w:lang w:eastAsia="en-GB"/>
        </w:rPr>
      </w:pPr>
      <w:r>
        <w:rPr>
          <w:color w:val="000000"/>
          <w:lang w:eastAsia="en-GB"/>
        </w:rPr>
        <w:t>2.08.4</w:t>
      </w:r>
      <w:r>
        <w:rPr>
          <w:color w:val="000000"/>
          <w:lang w:eastAsia="en-GB"/>
        </w:rPr>
        <w:tab/>
      </w:r>
      <w:r w:rsidR="00474F4F">
        <w:rPr>
          <w:color w:val="000000"/>
          <w:lang w:eastAsia="en-GB"/>
        </w:rPr>
        <w:t xml:space="preserve">HOME and TWC2 have recommended that instead of keeping such migrant workers on Special Passes with no right to work, they should be given the right to seek new employment and thus, new work passes even while their claims are pending. </w:t>
      </w:r>
    </w:p>
    <w:p w14:paraId="695AF21D" w14:textId="13A2E8B7" w:rsidR="00474F4F" w:rsidRDefault="00474F4F" w:rsidP="009505D2">
      <w:pPr>
        <w:spacing w:before="40" w:after="40" w:line="240" w:lineRule="auto"/>
        <w:rPr>
          <w:color w:val="000000"/>
          <w:lang w:eastAsia="en-GB"/>
        </w:rPr>
      </w:pPr>
    </w:p>
    <w:p w14:paraId="6F511B90" w14:textId="77777777" w:rsidR="002C3A20" w:rsidRDefault="00D42640" w:rsidP="009505D2">
      <w:pPr>
        <w:spacing w:before="40" w:after="40" w:line="240" w:lineRule="auto"/>
        <w:rPr>
          <w:color w:val="000000"/>
          <w:lang w:eastAsia="en-GB"/>
        </w:rPr>
      </w:pPr>
      <w:r>
        <w:rPr>
          <w:color w:val="000000"/>
          <w:lang w:eastAsia="en-GB"/>
        </w:rPr>
        <w:t>2.08.5</w:t>
      </w:r>
      <w:r>
        <w:rPr>
          <w:color w:val="000000"/>
          <w:lang w:eastAsia="en-GB"/>
        </w:rPr>
        <w:tab/>
      </w:r>
      <w:r w:rsidR="00474F4F">
        <w:rPr>
          <w:color w:val="000000"/>
          <w:lang w:eastAsia="en-GB"/>
        </w:rPr>
        <w:t xml:space="preserve">More alarmingly, workers with salary claims reported to TWC2 </w:t>
      </w:r>
      <w:r w:rsidR="00570681">
        <w:rPr>
          <w:color w:val="000000"/>
          <w:lang w:eastAsia="en-GB"/>
        </w:rPr>
        <w:t xml:space="preserve">in mid-2020 </w:t>
      </w:r>
      <w:r w:rsidR="00474F4F">
        <w:rPr>
          <w:color w:val="000000"/>
          <w:lang w:eastAsia="en-GB"/>
        </w:rPr>
        <w:t xml:space="preserve">that due to a backlog and long waitlists at the Employment Claims Tribunal, government officials have told them they would be repatriated before their hearing dates at the </w:t>
      </w:r>
      <w:r w:rsidR="00474F4F" w:rsidRPr="002C3A20">
        <w:rPr>
          <w:color w:val="000000"/>
          <w:lang w:eastAsia="en-GB"/>
        </w:rPr>
        <w:t>tribunal</w:t>
      </w:r>
      <w:r w:rsidR="000069F4" w:rsidRPr="002C3A20">
        <w:rPr>
          <w:rStyle w:val="EndnoteReference"/>
          <w:color w:val="000000"/>
          <w:lang w:eastAsia="en-GB"/>
        </w:rPr>
        <w:endnoteReference w:id="29"/>
      </w:r>
      <w:r w:rsidR="000069F4" w:rsidRPr="002C3A20">
        <w:rPr>
          <w:color w:val="000000"/>
          <w:lang w:eastAsia="en-GB"/>
        </w:rPr>
        <w:t xml:space="preserve">. </w:t>
      </w:r>
      <w:r w:rsidR="00474F4F" w:rsidRPr="002C3A20">
        <w:rPr>
          <w:color w:val="000000"/>
          <w:lang w:eastAsia="en-GB"/>
        </w:rPr>
        <w:t>These</w:t>
      </w:r>
      <w:r w:rsidR="00474F4F">
        <w:rPr>
          <w:color w:val="000000"/>
          <w:lang w:eastAsia="en-GB"/>
        </w:rPr>
        <w:t xml:space="preserve"> workers reported</w:t>
      </w:r>
      <w:r w:rsidR="00570681">
        <w:rPr>
          <w:color w:val="000000"/>
          <w:lang w:eastAsia="en-GB"/>
        </w:rPr>
        <w:t xml:space="preserve"> being told t</w:t>
      </w:r>
      <w:r w:rsidR="00DB2EFD">
        <w:rPr>
          <w:color w:val="000000"/>
          <w:lang w:eastAsia="en-GB"/>
        </w:rPr>
        <w:t xml:space="preserve">hat </w:t>
      </w:r>
      <w:r w:rsidR="00474F4F">
        <w:rPr>
          <w:color w:val="000000"/>
          <w:lang w:eastAsia="en-GB"/>
        </w:rPr>
        <w:t>the</w:t>
      </w:r>
      <w:r w:rsidR="00DB2EFD">
        <w:rPr>
          <w:color w:val="000000"/>
          <w:lang w:eastAsia="en-GB"/>
        </w:rPr>
        <w:t>y</w:t>
      </w:r>
      <w:r w:rsidR="00474F4F">
        <w:rPr>
          <w:color w:val="000000"/>
          <w:lang w:eastAsia="en-GB"/>
        </w:rPr>
        <w:t xml:space="preserve"> themselves would have </w:t>
      </w:r>
      <w:r w:rsidR="00474F4F" w:rsidRPr="002C3A20">
        <w:rPr>
          <w:lang w:eastAsia="en-GB"/>
        </w:rPr>
        <w:t xml:space="preserve">to </w:t>
      </w:r>
      <w:r w:rsidR="00227134" w:rsidRPr="002C3A20">
        <w:rPr>
          <w:lang w:eastAsia="en-GB"/>
        </w:rPr>
        <w:t>arrange</w:t>
      </w:r>
      <w:r w:rsidR="002C3A20" w:rsidRPr="002C3A20">
        <w:rPr>
          <w:lang w:eastAsia="en-GB"/>
        </w:rPr>
        <w:t xml:space="preserve"> and pay for </w:t>
      </w:r>
      <w:r w:rsidR="00227134" w:rsidRPr="002C3A20">
        <w:rPr>
          <w:lang w:eastAsia="en-GB"/>
        </w:rPr>
        <w:t>their own</w:t>
      </w:r>
      <w:r w:rsidR="00474F4F" w:rsidRPr="002C3A20">
        <w:rPr>
          <w:lang w:eastAsia="en-GB"/>
        </w:rPr>
        <w:t xml:space="preserve"> return </w:t>
      </w:r>
      <w:r w:rsidR="00474F4F">
        <w:rPr>
          <w:color w:val="000000"/>
          <w:lang w:eastAsia="en-GB"/>
        </w:rPr>
        <w:t xml:space="preserve">to Singapore for the </w:t>
      </w:r>
      <w:r w:rsidR="00DB2EFD">
        <w:rPr>
          <w:color w:val="000000"/>
          <w:lang w:eastAsia="en-GB"/>
        </w:rPr>
        <w:t xml:space="preserve">tribunal </w:t>
      </w:r>
      <w:r w:rsidR="00474F4F">
        <w:rPr>
          <w:color w:val="000000"/>
          <w:lang w:eastAsia="en-GB"/>
        </w:rPr>
        <w:t xml:space="preserve">hearing and for their own accommodation while here. </w:t>
      </w:r>
      <w:r w:rsidR="00DB2EFD">
        <w:rPr>
          <w:color w:val="000000"/>
          <w:lang w:eastAsia="en-GB"/>
        </w:rPr>
        <w:t>O</w:t>
      </w:r>
      <w:r w:rsidR="00474F4F">
        <w:rPr>
          <w:color w:val="000000"/>
          <w:lang w:eastAsia="en-GB"/>
        </w:rPr>
        <w:t>fficials said nothing abo</w:t>
      </w:r>
      <w:r w:rsidR="00DB2EFD">
        <w:rPr>
          <w:color w:val="000000"/>
          <w:lang w:eastAsia="en-GB"/>
        </w:rPr>
        <w:t>ut any guaranteed right to a visa to enter Singapore when</w:t>
      </w:r>
      <w:r w:rsidR="00570681">
        <w:rPr>
          <w:color w:val="000000"/>
          <w:lang w:eastAsia="en-GB"/>
        </w:rPr>
        <w:t xml:space="preserve">ever the hearing would be scheduled. </w:t>
      </w:r>
    </w:p>
    <w:p w14:paraId="03D5A142" w14:textId="77777777" w:rsidR="002C3A20" w:rsidRDefault="002C3A20" w:rsidP="009505D2">
      <w:pPr>
        <w:spacing w:before="40" w:after="40" w:line="240" w:lineRule="auto"/>
        <w:rPr>
          <w:color w:val="000000"/>
          <w:lang w:eastAsia="en-GB"/>
        </w:rPr>
      </w:pPr>
    </w:p>
    <w:p w14:paraId="276AE10D" w14:textId="524240FB" w:rsidR="00570681" w:rsidRDefault="002C3A20" w:rsidP="009505D2">
      <w:pPr>
        <w:spacing w:before="40" w:after="40" w:line="240" w:lineRule="auto"/>
        <w:rPr>
          <w:color w:val="000000"/>
          <w:lang w:eastAsia="en-GB"/>
        </w:rPr>
      </w:pPr>
      <w:r>
        <w:rPr>
          <w:color w:val="000000"/>
          <w:lang w:eastAsia="en-GB"/>
        </w:rPr>
        <w:t>2.08.6</w:t>
      </w:r>
      <w:r>
        <w:rPr>
          <w:color w:val="000000"/>
          <w:lang w:eastAsia="en-GB"/>
        </w:rPr>
        <w:tab/>
      </w:r>
      <w:r w:rsidR="00570681">
        <w:rPr>
          <w:color w:val="000000"/>
          <w:lang w:eastAsia="en-GB"/>
        </w:rPr>
        <w:t xml:space="preserve">Since the tribunal rules do not permit legal representation, there is a big risk that failure to attend the hearing in person might result in summary dismissal of their salary claims. </w:t>
      </w:r>
      <w:r w:rsidR="00D42640">
        <w:rPr>
          <w:color w:val="000000"/>
          <w:lang w:eastAsia="en-GB"/>
        </w:rPr>
        <w:t>Thus</w:t>
      </w:r>
      <w:r w:rsidR="00DB2EFD">
        <w:rPr>
          <w:color w:val="000000"/>
          <w:lang w:eastAsia="en-GB"/>
        </w:rPr>
        <w:t xml:space="preserve"> </w:t>
      </w:r>
      <w:r w:rsidR="00570681">
        <w:rPr>
          <w:color w:val="000000"/>
          <w:lang w:eastAsia="en-GB"/>
        </w:rPr>
        <w:t>informed</w:t>
      </w:r>
      <w:r w:rsidR="00DB2EFD">
        <w:rPr>
          <w:color w:val="000000"/>
          <w:lang w:eastAsia="en-GB"/>
        </w:rPr>
        <w:t>, some workers chose to settle their salary claims at a fraction of what they were owed instead of taking the chance on</w:t>
      </w:r>
      <w:r w:rsidR="00570681">
        <w:rPr>
          <w:color w:val="000000"/>
          <w:lang w:eastAsia="en-GB"/>
        </w:rPr>
        <w:t>, and bearing the cost of,</w:t>
      </w:r>
      <w:r w:rsidR="00DB2EFD">
        <w:rPr>
          <w:color w:val="000000"/>
          <w:lang w:eastAsia="en-GB"/>
        </w:rPr>
        <w:t xml:space="preserve"> coming back for the hearing date. Such a policy severely undermines workers’ access to justice and appropriate remedies</w:t>
      </w:r>
      <w:r w:rsidR="00570681">
        <w:rPr>
          <w:color w:val="000000"/>
          <w:lang w:eastAsia="en-GB"/>
        </w:rPr>
        <w:t>. It also represents a regression from previous policy that routinely allowed workers to remain in Singapore with Special Passes till their hearing dates.</w:t>
      </w:r>
    </w:p>
    <w:p w14:paraId="7EF8D9B5" w14:textId="644B37FE" w:rsidR="00671BD6" w:rsidRDefault="00671BD6" w:rsidP="009505D2">
      <w:pPr>
        <w:spacing w:before="40" w:after="40" w:line="240" w:lineRule="auto"/>
        <w:rPr>
          <w:color w:val="000000"/>
          <w:lang w:eastAsia="en-GB"/>
        </w:rPr>
      </w:pPr>
    </w:p>
    <w:p w14:paraId="34B0093B" w14:textId="38C3FB98" w:rsidR="00671BD6" w:rsidRPr="001B1479" w:rsidRDefault="00671BD6" w:rsidP="009505D2">
      <w:pPr>
        <w:spacing w:before="40" w:after="40" w:line="240" w:lineRule="auto"/>
        <w:rPr>
          <w:lang w:eastAsia="en-GB"/>
        </w:rPr>
      </w:pPr>
      <w:r w:rsidRPr="001B1479">
        <w:rPr>
          <w:lang w:eastAsia="en-GB"/>
        </w:rPr>
        <w:t>2.08.</w:t>
      </w:r>
      <w:r w:rsidR="001B1479" w:rsidRPr="001B1479">
        <w:rPr>
          <w:lang w:eastAsia="en-GB"/>
        </w:rPr>
        <w:t>7</w:t>
      </w:r>
      <w:r w:rsidRPr="001B1479">
        <w:rPr>
          <w:lang w:eastAsia="en-GB"/>
        </w:rPr>
        <w:tab/>
        <w:t>TWC2</w:t>
      </w:r>
      <w:r w:rsidR="00C05BF7" w:rsidRPr="001B1479">
        <w:rPr>
          <w:lang w:eastAsia="en-GB"/>
        </w:rPr>
        <w:t xml:space="preserve"> and HOME have both</w:t>
      </w:r>
      <w:r w:rsidRPr="001B1479">
        <w:rPr>
          <w:lang w:eastAsia="en-GB"/>
        </w:rPr>
        <w:t xml:space="preserve"> </w:t>
      </w:r>
      <w:r w:rsidR="00C05BF7" w:rsidRPr="001B1479">
        <w:rPr>
          <w:lang w:eastAsia="en-GB"/>
        </w:rPr>
        <w:t>seen</w:t>
      </w:r>
      <w:r w:rsidRPr="001B1479">
        <w:rPr>
          <w:lang w:eastAsia="en-GB"/>
        </w:rPr>
        <w:t xml:space="preserve"> case</w:t>
      </w:r>
      <w:r w:rsidR="00C05BF7" w:rsidRPr="001B1479">
        <w:rPr>
          <w:lang w:eastAsia="en-GB"/>
        </w:rPr>
        <w:t xml:space="preserve">s where </w:t>
      </w:r>
      <w:r w:rsidRPr="001B1479">
        <w:rPr>
          <w:lang w:eastAsia="en-GB"/>
        </w:rPr>
        <w:t>migrant worker</w:t>
      </w:r>
      <w:r w:rsidR="00C05BF7" w:rsidRPr="001B1479">
        <w:rPr>
          <w:lang w:eastAsia="en-GB"/>
        </w:rPr>
        <w:t xml:space="preserve">s with </w:t>
      </w:r>
      <w:r w:rsidRPr="001B1479">
        <w:rPr>
          <w:lang w:eastAsia="en-GB"/>
        </w:rPr>
        <w:t>pending injury compensation claim</w:t>
      </w:r>
      <w:r w:rsidR="00C05BF7" w:rsidRPr="001B1479">
        <w:rPr>
          <w:lang w:eastAsia="en-GB"/>
        </w:rPr>
        <w:t>s were</w:t>
      </w:r>
      <w:r w:rsidRPr="001B1479">
        <w:rPr>
          <w:lang w:eastAsia="en-GB"/>
        </w:rPr>
        <w:t xml:space="preserve"> re</w:t>
      </w:r>
      <w:r w:rsidR="00C05BF7" w:rsidRPr="001B1479">
        <w:rPr>
          <w:lang w:eastAsia="en-GB"/>
        </w:rPr>
        <w:t>patriated before conclusion of their</w:t>
      </w:r>
      <w:r w:rsidRPr="001B1479">
        <w:rPr>
          <w:lang w:eastAsia="en-GB"/>
        </w:rPr>
        <w:t xml:space="preserve"> case</w:t>
      </w:r>
      <w:r w:rsidR="00A55B0F">
        <w:rPr>
          <w:rStyle w:val="EndnoteReference"/>
          <w:lang w:eastAsia="en-GB"/>
        </w:rPr>
        <w:endnoteReference w:id="30"/>
      </w:r>
      <w:r w:rsidRPr="001B1479">
        <w:rPr>
          <w:lang w:eastAsia="en-GB"/>
        </w:rPr>
        <w:t>.</w:t>
      </w:r>
      <w:r w:rsidR="00C62D0D" w:rsidRPr="001B1479">
        <w:rPr>
          <w:lang w:eastAsia="en-GB"/>
        </w:rPr>
        <w:t xml:space="preserve">  This often has the practical effect of closing their claims and denying them their recourse to justice, for the reasons </w:t>
      </w:r>
      <w:proofErr w:type="gramStart"/>
      <w:r w:rsidR="001B1479" w:rsidRPr="001B1479">
        <w:rPr>
          <w:lang w:eastAsia="en-GB"/>
        </w:rPr>
        <w:t>similar to</w:t>
      </w:r>
      <w:proofErr w:type="gramEnd"/>
      <w:r w:rsidR="00C62D0D" w:rsidRPr="001B1479">
        <w:rPr>
          <w:lang w:eastAsia="en-GB"/>
        </w:rPr>
        <w:t xml:space="preserve"> 2.08.5 above.</w:t>
      </w:r>
      <w:r w:rsidRPr="001B1479">
        <w:rPr>
          <w:lang w:eastAsia="en-GB"/>
        </w:rPr>
        <w:t xml:space="preserve"> </w:t>
      </w:r>
      <w:r w:rsidR="00C62D0D" w:rsidRPr="001B1479">
        <w:rPr>
          <w:lang w:eastAsia="en-GB"/>
        </w:rPr>
        <w:t xml:space="preserve"> Generally</w:t>
      </w:r>
      <w:r w:rsidR="001B1479" w:rsidRPr="001B1479">
        <w:rPr>
          <w:lang w:eastAsia="en-GB"/>
        </w:rPr>
        <w:t>, repatriation was</w:t>
      </w:r>
      <w:r w:rsidR="00C62D0D" w:rsidRPr="001B1479">
        <w:rPr>
          <w:lang w:eastAsia="en-GB"/>
        </w:rPr>
        <w:t xml:space="preserve"> on the </w:t>
      </w:r>
      <w:r w:rsidR="001B1479" w:rsidRPr="001B1479">
        <w:rPr>
          <w:lang w:eastAsia="en-GB"/>
        </w:rPr>
        <w:t>grounds</w:t>
      </w:r>
      <w:r w:rsidR="00C62D0D" w:rsidRPr="001B1479">
        <w:rPr>
          <w:lang w:eastAsia="en-GB"/>
        </w:rPr>
        <w:t xml:space="preserve"> that the workers allegedly breached their pass conditions</w:t>
      </w:r>
      <w:r w:rsidR="001B1479" w:rsidRPr="001B1479">
        <w:rPr>
          <w:lang w:eastAsia="en-GB"/>
        </w:rPr>
        <w:t>, such as residing elsewhere than accommodation provided by the employers. D</w:t>
      </w:r>
      <w:r w:rsidR="00C62D0D" w:rsidRPr="001B1479">
        <w:rPr>
          <w:lang w:eastAsia="en-GB"/>
        </w:rPr>
        <w:t xml:space="preserve">eportation </w:t>
      </w:r>
      <w:r w:rsidR="001B1479" w:rsidRPr="001B1479">
        <w:rPr>
          <w:lang w:eastAsia="en-GB"/>
        </w:rPr>
        <w:t>is</w:t>
      </w:r>
      <w:r w:rsidR="00C62D0D" w:rsidRPr="001B1479">
        <w:rPr>
          <w:lang w:eastAsia="en-GB"/>
        </w:rPr>
        <w:t xml:space="preserve"> a disproportionate response to the alleged breaches</w:t>
      </w:r>
      <w:r w:rsidR="001B1479" w:rsidRPr="001B1479">
        <w:rPr>
          <w:lang w:eastAsia="en-GB"/>
        </w:rPr>
        <w:t>.</w:t>
      </w:r>
      <w:r w:rsidR="00D957B6" w:rsidRPr="001B1479">
        <w:rPr>
          <w:lang w:eastAsia="en-GB"/>
        </w:rPr>
        <w:t xml:space="preserve"> </w:t>
      </w:r>
    </w:p>
    <w:p w14:paraId="6FB81277" w14:textId="775AC0D5" w:rsidR="00C62D0D" w:rsidRPr="001B1479" w:rsidRDefault="00C62D0D" w:rsidP="009505D2">
      <w:pPr>
        <w:spacing w:before="40" w:after="40" w:line="240" w:lineRule="auto"/>
        <w:rPr>
          <w:lang w:eastAsia="en-GB"/>
        </w:rPr>
      </w:pPr>
    </w:p>
    <w:p w14:paraId="6FA4B252" w14:textId="01D23380" w:rsidR="00C62D0D" w:rsidRDefault="00C62D0D" w:rsidP="009505D2">
      <w:pPr>
        <w:spacing w:before="40" w:after="40" w:line="240" w:lineRule="auto"/>
        <w:rPr>
          <w:lang w:eastAsia="en-GB"/>
        </w:rPr>
      </w:pPr>
      <w:r w:rsidRPr="001B1479">
        <w:rPr>
          <w:lang w:eastAsia="en-GB"/>
        </w:rPr>
        <w:t>2.08.</w:t>
      </w:r>
      <w:r w:rsidR="001B1479" w:rsidRPr="001B1479">
        <w:rPr>
          <w:lang w:eastAsia="en-GB"/>
        </w:rPr>
        <w:t>8</w:t>
      </w:r>
      <w:r w:rsidRPr="001B1479">
        <w:rPr>
          <w:lang w:eastAsia="en-GB"/>
        </w:rPr>
        <w:t xml:space="preserve">   This issue was exacerbated during and after Singapore’s lockdown measures.  </w:t>
      </w:r>
      <w:r w:rsidR="001B1479" w:rsidRPr="001B1479">
        <w:rPr>
          <w:lang w:eastAsia="en-GB"/>
        </w:rPr>
        <w:t xml:space="preserve">TWC2 and </w:t>
      </w:r>
      <w:r w:rsidR="00D957B6" w:rsidRPr="001B1479">
        <w:rPr>
          <w:lang w:eastAsia="en-GB"/>
        </w:rPr>
        <w:t>HOME</w:t>
      </w:r>
      <w:r w:rsidR="001B1479" w:rsidRPr="001B1479">
        <w:rPr>
          <w:lang w:eastAsia="en-GB"/>
        </w:rPr>
        <w:t xml:space="preserve"> are</w:t>
      </w:r>
      <w:r w:rsidR="00D957B6" w:rsidRPr="001B1479">
        <w:rPr>
          <w:lang w:eastAsia="en-GB"/>
        </w:rPr>
        <w:t xml:space="preserve"> aware of several injured workers who were repatriated before their cases concluded</w:t>
      </w:r>
      <w:r w:rsidR="001B1479" w:rsidRPr="001B1479">
        <w:rPr>
          <w:lang w:eastAsia="en-GB"/>
        </w:rPr>
        <w:t xml:space="preserve"> because they left their employer-designated dormitory. </w:t>
      </w:r>
      <w:r w:rsidR="00D957B6" w:rsidRPr="001B1479">
        <w:rPr>
          <w:lang w:eastAsia="en-GB"/>
        </w:rPr>
        <w:t>Some of these workers had injuries which made the employers’ accommodation unsuitable</w:t>
      </w:r>
      <w:r w:rsidR="001B1479" w:rsidRPr="001B1479">
        <w:rPr>
          <w:lang w:eastAsia="en-GB"/>
        </w:rPr>
        <w:t xml:space="preserve"> (e.g. having to </w:t>
      </w:r>
      <w:r w:rsidR="008278DF">
        <w:rPr>
          <w:lang w:eastAsia="en-GB"/>
        </w:rPr>
        <w:t>climb</w:t>
      </w:r>
      <w:r w:rsidR="001B1479" w:rsidRPr="001B1479">
        <w:rPr>
          <w:lang w:eastAsia="en-GB"/>
        </w:rPr>
        <w:t xml:space="preserve"> stairs when they had a broken leg).</w:t>
      </w:r>
    </w:p>
    <w:p w14:paraId="4CEB0CC2" w14:textId="77777777" w:rsidR="003D1566" w:rsidRPr="001B1479" w:rsidRDefault="003D1566" w:rsidP="009505D2">
      <w:pPr>
        <w:spacing w:before="40" w:after="40" w:line="240" w:lineRule="auto"/>
        <w:rPr>
          <w:lang w:eastAsia="en-GB"/>
        </w:rPr>
      </w:pPr>
    </w:p>
    <w:p w14:paraId="1BE50CBC" w14:textId="7D69EEBA" w:rsidR="00570681" w:rsidRDefault="00570681" w:rsidP="009505D2">
      <w:pPr>
        <w:spacing w:before="40" w:after="40" w:line="240" w:lineRule="auto"/>
        <w:rPr>
          <w:color w:val="000000"/>
          <w:lang w:eastAsia="en-GB"/>
        </w:rPr>
      </w:pPr>
    </w:p>
    <w:p w14:paraId="63F84DAE" w14:textId="2DB204D3" w:rsidR="00631DA9" w:rsidRPr="003D1566" w:rsidRDefault="00631DA9" w:rsidP="009505D2">
      <w:pPr>
        <w:spacing w:before="40" w:after="40" w:line="240" w:lineRule="auto"/>
        <w:rPr>
          <w:b/>
          <w:bCs/>
          <w:color w:val="000000"/>
          <w:sz w:val="24"/>
          <w:szCs w:val="24"/>
          <w:lang w:eastAsia="en-GB"/>
        </w:rPr>
      </w:pPr>
      <w:r w:rsidRPr="003D1566">
        <w:rPr>
          <w:b/>
          <w:bCs/>
          <w:color w:val="000000"/>
          <w:sz w:val="24"/>
          <w:szCs w:val="24"/>
          <w:lang w:eastAsia="en-GB"/>
        </w:rPr>
        <w:t>SW-09. Poor enforcement of court orders and settlement agreements</w:t>
      </w:r>
    </w:p>
    <w:p w14:paraId="70F30A2D"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1FCED3DC" w14:textId="21B4F3FC" w:rsidR="00C92785"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w:t>
      </w:r>
      <w:r w:rsidR="00671BD6">
        <w:rPr>
          <w:rFonts w:asciiTheme="minorHAnsi" w:hAnsiTheme="minorHAnsi" w:cstheme="minorHAnsi"/>
          <w:sz w:val="22"/>
          <w:szCs w:val="22"/>
        </w:rPr>
        <w:t>.09.1</w:t>
      </w:r>
      <w:r w:rsidR="00671BD6">
        <w:rPr>
          <w:rFonts w:asciiTheme="minorHAnsi" w:hAnsiTheme="minorHAnsi" w:cstheme="minorHAnsi"/>
          <w:sz w:val="22"/>
          <w:szCs w:val="22"/>
        </w:rPr>
        <w:tab/>
      </w:r>
      <w:r w:rsidR="00735F8F">
        <w:rPr>
          <w:rFonts w:asciiTheme="minorHAnsi" w:hAnsiTheme="minorHAnsi" w:cstheme="minorHAnsi"/>
          <w:sz w:val="22"/>
          <w:szCs w:val="22"/>
        </w:rPr>
        <w:t xml:space="preserve">HOME and TWC2 have encountered many cases where a migrant worker, even when he or she has in hand a court order or court-registered settlement agreement, is unable to obtain payment of the </w:t>
      </w:r>
      <w:r w:rsidR="008E46D1">
        <w:rPr>
          <w:rFonts w:asciiTheme="minorHAnsi" w:hAnsiTheme="minorHAnsi" w:cstheme="minorHAnsi"/>
          <w:sz w:val="22"/>
          <w:szCs w:val="22"/>
        </w:rPr>
        <w:t>stated</w:t>
      </w:r>
      <w:r w:rsidR="00735F8F">
        <w:rPr>
          <w:rFonts w:asciiTheme="minorHAnsi" w:hAnsiTheme="minorHAnsi" w:cstheme="minorHAnsi"/>
          <w:sz w:val="22"/>
          <w:szCs w:val="22"/>
        </w:rPr>
        <w:t xml:space="preserve"> amount</w:t>
      </w:r>
      <w:r w:rsidR="00B83B5A">
        <w:rPr>
          <w:rStyle w:val="EndnoteReference"/>
          <w:rFonts w:asciiTheme="minorHAnsi" w:hAnsiTheme="minorHAnsi" w:cstheme="minorHAnsi"/>
          <w:sz w:val="22"/>
          <w:szCs w:val="22"/>
        </w:rPr>
        <w:endnoteReference w:id="31"/>
      </w:r>
      <w:r w:rsidR="00735F8F">
        <w:rPr>
          <w:rFonts w:asciiTheme="minorHAnsi" w:hAnsiTheme="minorHAnsi" w:cstheme="minorHAnsi"/>
          <w:sz w:val="22"/>
          <w:szCs w:val="22"/>
        </w:rPr>
        <w:t xml:space="preserve">. </w:t>
      </w:r>
    </w:p>
    <w:p w14:paraId="3951CE2B"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43EF3470" w14:textId="125F2582" w:rsidR="00735F8F"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2.09.2</w:t>
      </w:r>
      <w:r>
        <w:rPr>
          <w:rFonts w:asciiTheme="minorHAnsi" w:hAnsiTheme="minorHAnsi" w:cstheme="minorHAnsi"/>
          <w:sz w:val="22"/>
          <w:szCs w:val="22"/>
        </w:rPr>
        <w:tab/>
      </w:r>
      <w:r w:rsidR="00735F8F">
        <w:rPr>
          <w:rFonts w:asciiTheme="minorHAnsi" w:hAnsiTheme="minorHAnsi" w:cstheme="minorHAnsi"/>
          <w:sz w:val="22"/>
          <w:szCs w:val="22"/>
        </w:rPr>
        <w:t xml:space="preserve">The Singapore government takes the view that enforcement of court orders is a private civil matter. </w:t>
      </w:r>
      <w:r w:rsidR="00B83B5A">
        <w:rPr>
          <w:rFonts w:asciiTheme="minorHAnsi" w:hAnsiTheme="minorHAnsi" w:cstheme="minorHAnsi"/>
          <w:sz w:val="22"/>
          <w:szCs w:val="22"/>
        </w:rPr>
        <w:t>When workers bring to officials’ attention that court orders or settlement agreements remain outstanding, the most common advice given to workers is to take out a Writ of Seizure and Sale, a process that incurs upfront costs with a poor success rate. For workers who have been owed salaries and are therefore short of money, this is an unrealistic course of action.</w:t>
      </w:r>
    </w:p>
    <w:p w14:paraId="672EB68E"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349AF420" w14:textId="061E469F" w:rsidR="00B83B5A"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2.09.3</w:t>
      </w:r>
      <w:r>
        <w:rPr>
          <w:rFonts w:asciiTheme="minorHAnsi" w:hAnsiTheme="minorHAnsi" w:cstheme="minorHAnsi"/>
          <w:sz w:val="22"/>
          <w:szCs w:val="22"/>
        </w:rPr>
        <w:tab/>
      </w:r>
      <w:r w:rsidR="00B83B5A">
        <w:rPr>
          <w:rFonts w:asciiTheme="minorHAnsi" w:hAnsiTheme="minorHAnsi" w:cstheme="minorHAnsi"/>
          <w:sz w:val="22"/>
          <w:szCs w:val="22"/>
        </w:rPr>
        <w:t>Even when TWC2 has tried, with the aid of pro-bono lawyers, to enforce a judgement, we have more often been met with failure rather than success</w:t>
      </w:r>
      <w:r w:rsidR="00B83B5A">
        <w:rPr>
          <w:rStyle w:val="EndnoteReference"/>
          <w:rFonts w:asciiTheme="minorHAnsi" w:hAnsiTheme="minorHAnsi" w:cstheme="minorHAnsi"/>
          <w:sz w:val="22"/>
          <w:szCs w:val="22"/>
        </w:rPr>
        <w:endnoteReference w:id="32"/>
      </w:r>
      <w:r w:rsidR="00B83B5A">
        <w:rPr>
          <w:rFonts w:asciiTheme="minorHAnsi" w:hAnsiTheme="minorHAnsi" w:cstheme="minorHAnsi"/>
          <w:sz w:val="22"/>
          <w:szCs w:val="22"/>
        </w:rPr>
        <w:t xml:space="preserve">. </w:t>
      </w:r>
    </w:p>
    <w:p w14:paraId="5287FDDA"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79ABCD3E" w14:textId="5B32C959" w:rsidR="00B83B5A"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2.09.4</w:t>
      </w:r>
      <w:r>
        <w:rPr>
          <w:rFonts w:asciiTheme="minorHAnsi" w:hAnsiTheme="minorHAnsi" w:cstheme="minorHAnsi"/>
          <w:sz w:val="22"/>
          <w:szCs w:val="22"/>
        </w:rPr>
        <w:tab/>
      </w:r>
      <w:r w:rsidR="00B83B5A">
        <w:rPr>
          <w:rFonts w:asciiTheme="minorHAnsi" w:hAnsiTheme="minorHAnsi" w:cstheme="minorHAnsi"/>
          <w:sz w:val="22"/>
          <w:szCs w:val="22"/>
        </w:rPr>
        <w:t>A potentially useful provision in the Employment Act is</w:t>
      </w:r>
      <w:r w:rsidR="00956193">
        <w:rPr>
          <w:rFonts w:asciiTheme="minorHAnsi" w:hAnsiTheme="minorHAnsi" w:cstheme="minorHAnsi"/>
          <w:sz w:val="22"/>
          <w:szCs w:val="22"/>
        </w:rPr>
        <w:t xml:space="preserve"> insufficiently</w:t>
      </w:r>
      <w:r w:rsidR="00B83B5A">
        <w:rPr>
          <w:rFonts w:asciiTheme="minorHAnsi" w:hAnsiTheme="minorHAnsi" w:cstheme="minorHAnsi"/>
          <w:sz w:val="22"/>
          <w:szCs w:val="22"/>
        </w:rPr>
        <w:t xml:space="preserve"> used. Section 113A of the Act lifts the corporate veil and makes any director, </w:t>
      </w:r>
      <w:r w:rsidR="00F37720">
        <w:rPr>
          <w:rFonts w:asciiTheme="minorHAnsi" w:hAnsiTheme="minorHAnsi" w:cstheme="minorHAnsi"/>
          <w:sz w:val="22"/>
          <w:szCs w:val="22"/>
        </w:rPr>
        <w:t>partner, chief executive or any member of the management of a corporate body who is responsible for salaries and payments, personally liable under the law for offences committed under the Act. Penalties include fines and imprisonment.</w:t>
      </w:r>
    </w:p>
    <w:p w14:paraId="35C6B432"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5255A4A7" w14:textId="655B31A4" w:rsidR="00F37720"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2.09.5</w:t>
      </w:r>
      <w:r>
        <w:rPr>
          <w:rFonts w:asciiTheme="minorHAnsi" w:hAnsiTheme="minorHAnsi" w:cstheme="minorHAnsi"/>
          <w:sz w:val="22"/>
          <w:szCs w:val="22"/>
        </w:rPr>
        <w:tab/>
      </w:r>
      <w:r w:rsidR="00F37720">
        <w:rPr>
          <w:rFonts w:asciiTheme="minorHAnsi" w:hAnsiTheme="minorHAnsi" w:cstheme="minorHAnsi"/>
          <w:sz w:val="22"/>
          <w:szCs w:val="22"/>
        </w:rPr>
        <w:t xml:space="preserve">Whilst making responsible persons in a company personally liable does not directly promote the payment of court orders and agreed settlements, </w:t>
      </w:r>
      <w:r w:rsidR="008E46D1">
        <w:rPr>
          <w:rFonts w:asciiTheme="minorHAnsi" w:hAnsiTheme="minorHAnsi" w:cstheme="minorHAnsi"/>
          <w:sz w:val="22"/>
          <w:szCs w:val="22"/>
        </w:rPr>
        <w:t>a</w:t>
      </w:r>
      <w:r w:rsidR="002C4A27">
        <w:rPr>
          <w:rFonts w:asciiTheme="minorHAnsi" w:hAnsiTheme="minorHAnsi" w:cstheme="minorHAnsi"/>
          <w:sz w:val="22"/>
          <w:szCs w:val="22"/>
        </w:rPr>
        <w:t xml:space="preserve"> credible</w:t>
      </w:r>
      <w:r w:rsidR="00F37720">
        <w:rPr>
          <w:rFonts w:asciiTheme="minorHAnsi" w:hAnsiTheme="minorHAnsi" w:cstheme="minorHAnsi"/>
          <w:sz w:val="22"/>
          <w:szCs w:val="22"/>
        </w:rPr>
        <w:t xml:space="preserve"> threat of criminal prosecution should </w:t>
      </w:r>
      <w:r w:rsidR="00956193">
        <w:rPr>
          <w:rFonts w:asciiTheme="minorHAnsi" w:hAnsiTheme="minorHAnsi" w:cstheme="minorHAnsi"/>
          <w:sz w:val="22"/>
          <w:szCs w:val="22"/>
        </w:rPr>
        <w:t xml:space="preserve">motivate accused </w:t>
      </w:r>
      <w:r w:rsidR="00F37720">
        <w:rPr>
          <w:rFonts w:asciiTheme="minorHAnsi" w:hAnsiTheme="minorHAnsi" w:cstheme="minorHAnsi"/>
          <w:sz w:val="22"/>
          <w:szCs w:val="22"/>
        </w:rPr>
        <w:t>persons</w:t>
      </w:r>
      <w:r w:rsidR="00956193">
        <w:rPr>
          <w:rFonts w:asciiTheme="minorHAnsi" w:hAnsiTheme="minorHAnsi" w:cstheme="minorHAnsi"/>
          <w:sz w:val="22"/>
          <w:szCs w:val="22"/>
        </w:rPr>
        <w:t xml:space="preserve"> to honour court orders.</w:t>
      </w:r>
      <w:r w:rsidR="00F37720">
        <w:rPr>
          <w:rFonts w:asciiTheme="minorHAnsi" w:hAnsiTheme="minorHAnsi" w:cstheme="minorHAnsi"/>
          <w:sz w:val="22"/>
          <w:szCs w:val="22"/>
        </w:rPr>
        <w:t xml:space="preserve"> </w:t>
      </w:r>
    </w:p>
    <w:p w14:paraId="2D5FCFEF"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0C4BDCDF" w14:textId="7C4CB894" w:rsidR="00F37720"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2.09.6</w:t>
      </w:r>
      <w:r>
        <w:rPr>
          <w:rFonts w:asciiTheme="minorHAnsi" w:hAnsiTheme="minorHAnsi" w:cstheme="minorHAnsi"/>
          <w:sz w:val="22"/>
          <w:szCs w:val="22"/>
        </w:rPr>
        <w:tab/>
      </w:r>
      <w:r w:rsidR="00F37720">
        <w:rPr>
          <w:rFonts w:asciiTheme="minorHAnsi" w:hAnsiTheme="minorHAnsi" w:cstheme="minorHAnsi"/>
          <w:sz w:val="22"/>
          <w:szCs w:val="22"/>
        </w:rPr>
        <w:t xml:space="preserve">Unfortunately, </w:t>
      </w:r>
      <w:proofErr w:type="gramStart"/>
      <w:r w:rsidR="00F37720">
        <w:rPr>
          <w:rFonts w:asciiTheme="minorHAnsi" w:hAnsiTheme="minorHAnsi" w:cstheme="minorHAnsi"/>
          <w:sz w:val="22"/>
          <w:szCs w:val="22"/>
        </w:rPr>
        <w:t>the vast majority of</w:t>
      </w:r>
      <w:proofErr w:type="gramEnd"/>
      <w:r w:rsidR="00F37720">
        <w:rPr>
          <w:rFonts w:asciiTheme="minorHAnsi" w:hAnsiTheme="minorHAnsi" w:cstheme="minorHAnsi"/>
          <w:sz w:val="22"/>
          <w:szCs w:val="22"/>
        </w:rPr>
        <w:t xml:space="preserve"> salary claims, even when proved in the Employment Claims Tribunal (ECT), do not attract prosecution. </w:t>
      </w:r>
      <w:r w:rsidR="00956193">
        <w:rPr>
          <w:rFonts w:asciiTheme="minorHAnsi" w:hAnsiTheme="minorHAnsi" w:cstheme="minorHAnsi"/>
          <w:sz w:val="22"/>
          <w:szCs w:val="22"/>
        </w:rPr>
        <w:t>For example, there were 1,301 claims heard at the ECT in 2019</w:t>
      </w:r>
      <w:r w:rsidR="00956193">
        <w:rPr>
          <w:rStyle w:val="EndnoteReference"/>
          <w:rFonts w:asciiTheme="minorHAnsi" w:hAnsiTheme="minorHAnsi" w:cstheme="minorHAnsi"/>
          <w:sz w:val="22"/>
          <w:szCs w:val="22"/>
        </w:rPr>
        <w:endnoteReference w:id="33"/>
      </w:r>
      <w:r w:rsidR="00956193">
        <w:rPr>
          <w:rFonts w:asciiTheme="minorHAnsi" w:hAnsiTheme="minorHAnsi" w:cstheme="minorHAnsi"/>
          <w:sz w:val="22"/>
          <w:szCs w:val="22"/>
        </w:rPr>
        <w:t xml:space="preserve"> </w:t>
      </w:r>
      <w:r w:rsidR="003D1566">
        <w:rPr>
          <w:rFonts w:asciiTheme="minorHAnsi" w:hAnsiTheme="minorHAnsi" w:cstheme="minorHAnsi"/>
          <w:sz w:val="22"/>
          <w:szCs w:val="22"/>
        </w:rPr>
        <w:t>(</w:t>
      </w:r>
      <w:r w:rsidR="00956193">
        <w:rPr>
          <w:rFonts w:asciiTheme="minorHAnsi" w:hAnsiTheme="minorHAnsi" w:cstheme="minorHAnsi"/>
          <w:sz w:val="22"/>
          <w:szCs w:val="22"/>
        </w:rPr>
        <w:t>both migrant workers and locals</w:t>
      </w:r>
      <w:r w:rsidR="003D1566">
        <w:rPr>
          <w:rFonts w:asciiTheme="minorHAnsi" w:hAnsiTheme="minorHAnsi" w:cstheme="minorHAnsi"/>
          <w:sz w:val="22"/>
          <w:szCs w:val="22"/>
        </w:rPr>
        <w:t>) --</w:t>
      </w:r>
      <w:r w:rsidR="00956193">
        <w:rPr>
          <w:rFonts w:asciiTheme="minorHAnsi" w:hAnsiTheme="minorHAnsi" w:cstheme="minorHAnsi"/>
          <w:sz w:val="22"/>
          <w:szCs w:val="22"/>
        </w:rPr>
        <w:t xml:space="preserve"> with the great majority being salary claims – and  a</w:t>
      </w:r>
      <w:r w:rsidR="00956193" w:rsidRPr="00956193">
        <w:rPr>
          <w:rFonts w:asciiTheme="minorHAnsi" w:hAnsiTheme="minorHAnsi" w:cstheme="minorHAnsi"/>
          <w:sz w:val="22"/>
          <w:szCs w:val="22"/>
        </w:rPr>
        <w:t xml:space="preserve">bout 40% of cases resulted in money orders issued </w:t>
      </w:r>
      <w:r w:rsidR="00956193">
        <w:rPr>
          <w:rFonts w:asciiTheme="minorHAnsi" w:hAnsiTheme="minorHAnsi" w:cstheme="minorHAnsi"/>
          <w:sz w:val="22"/>
          <w:szCs w:val="22"/>
        </w:rPr>
        <w:t>against</w:t>
      </w:r>
      <w:r w:rsidR="00956193" w:rsidRPr="00956193">
        <w:rPr>
          <w:rFonts w:asciiTheme="minorHAnsi" w:hAnsiTheme="minorHAnsi" w:cstheme="minorHAnsi"/>
          <w:sz w:val="22"/>
          <w:szCs w:val="22"/>
        </w:rPr>
        <w:t xml:space="preserve"> employers</w:t>
      </w:r>
      <w:r w:rsidR="00956193">
        <w:rPr>
          <w:rStyle w:val="EndnoteReference"/>
          <w:rFonts w:asciiTheme="minorHAnsi" w:hAnsiTheme="minorHAnsi" w:cstheme="minorHAnsi"/>
          <w:sz w:val="22"/>
          <w:szCs w:val="22"/>
        </w:rPr>
        <w:endnoteReference w:id="34"/>
      </w:r>
      <w:r w:rsidR="00956193">
        <w:rPr>
          <w:rFonts w:asciiTheme="minorHAnsi" w:hAnsiTheme="minorHAnsi" w:cstheme="minorHAnsi"/>
          <w:sz w:val="22"/>
          <w:szCs w:val="22"/>
        </w:rPr>
        <w:t xml:space="preserve">, </w:t>
      </w:r>
      <w:r w:rsidR="003D1566">
        <w:rPr>
          <w:rFonts w:asciiTheme="minorHAnsi" w:hAnsiTheme="minorHAnsi" w:cstheme="minorHAnsi"/>
          <w:sz w:val="22"/>
          <w:szCs w:val="22"/>
        </w:rPr>
        <w:t xml:space="preserve">yet in 2019, there were only </w:t>
      </w:r>
      <w:r w:rsidR="00D03B19">
        <w:rPr>
          <w:rFonts w:asciiTheme="minorHAnsi" w:hAnsiTheme="minorHAnsi" w:cstheme="minorHAnsi"/>
          <w:sz w:val="22"/>
          <w:szCs w:val="22"/>
        </w:rPr>
        <w:t xml:space="preserve">nine directors convicted </w:t>
      </w:r>
      <w:r w:rsidR="003D1566">
        <w:rPr>
          <w:rFonts w:asciiTheme="minorHAnsi" w:hAnsiTheme="minorHAnsi" w:cstheme="minorHAnsi"/>
          <w:sz w:val="22"/>
          <w:szCs w:val="22"/>
        </w:rPr>
        <w:t>for failing to pay salaries</w:t>
      </w:r>
      <w:r w:rsidR="003D1566">
        <w:rPr>
          <w:rStyle w:val="EndnoteReference"/>
          <w:rFonts w:asciiTheme="minorHAnsi" w:hAnsiTheme="minorHAnsi" w:cstheme="minorHAnsi"/>
          <w:sz w:val="22"/>
          <w:szCs w:val="22"/>
        </w:rPr>
        <w:endnoteReference w:id="35"/>
      </w:r>
      <w:r w:rsidR="003D1566">
        <w:rPr>
          <w:rFonts w:asciiTheme="minorHAnsi" w:hAnsiTheme="minorHAnsi" w:cstheme="minorHAnsi"/>
          <w:sz w:val="22"/>
          <w:szCs w:val="22"/>
        </w:rPr>
        <w:t>.</w:t>
      </w:r>
    </w:p>
    <w:p w14:paraId="015EDCF8"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1E5FD71E" w14:textId="2F4FCC91" w:rsidR="000A2414"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2.09.7</w:t>
      </w:r>
      <w:r>
        <w:rPr>
          <w:rFonts w:asciiTheme="minorHAnsi" w:hAnsiTheme="minorHAnsi" w:cstheme="minorHAnsi"/>
          <w:sz w:val="22"/>
          <w:szCs w:val="22"/>
        </w:rPr>
        <w:tab/>
      </w:r>
      <w:r w:rsidR="000A2414">
        <w:rPr>
          <w:rFonts w:asciiTheme="minorHAnsi" w:hAnsiTheme="minorHAnsi" w:cstheme="minorHAnsi"/>
          <w:sz w:val="22"/>
          <w:szCs w:val="22"/>
        </w:rPr>
        <w:t xml:space="preserve">The </w:t>
      </w:r>
      <w:r w:rsidR="003D1566">
        <w:rPr>
          <w:rFonts w:asciiTheme="minorHAnsi" w:hAnsiTheme="minorHAnsi" w:cstheme="minorHAnsi"/>
          <w:sz w:val="22"/>
          <w:szCs w:val="22"/>
        </w:rPr>
        <w:t>low rate of prosecution produces</w:t>
      </w:r>
      <w:r w:rsidR="000A2414">
        <w:rPr>
          <w:rFonts w:asciiTheme="minorHAnsi" w:hAnsiTheme="minorHAnsi" w:cstheme="minorHAnsi"/>
          <w:sz w:val="22"/>
          <w:szCs w:val="22"/>
        </w:rPr>
        <w:t xml:space="preserve"> a sense of impunity among </w:t>
      </w:r>
      <w:r w:rsidR="00D606A9">
        <w:rPr>
          <w:rFonts w:asciiTheme="minorHAnsi" w:hAnsiTheme="minorHAnsi" w:cstheme="minorHAnsi"/>
          <w:sz w:val="22"/>
          <w:szCs w:val="22"/>
        </w:rPr>
        <w:t>delinquent employers and is likely related to</w:t>
      </w:r>
      <w:r w:rsidR="000A2414">
        <w:rPr>
          <w:rFonts w:asciiTheme="minorHAnsi" w:hAnsiTheme="minorHAnsi" w:cstheme="minorHAnsi"/>
          <w:sz w:val="22"/>
          <w:szCs w:val="22"/>
        </w:rPr>
        <w:t xml:space="preserve"> a poor success rate for workers collecting on their</w:t>
      </w:r>
      <w:r w:rsidR="00D606A9">
        <w:rPr>
          <w:rFonts w:asciiTheme="minorHAnsi" w:hAnsiTheme="minorHAnsi" w:cstheme="minorHAnsi"/>
          <w:sz w:val="22"/>
          <w:szCs w:val="22"/>
        </w:rPr>
        <w:t xml:space="preserve"> court orders and agreed settlements.</w:t>
      </w:r>
    </w:p>
    <w:p w14:paraId="2367B28B"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43C111CD" w14:textId="06523F9D" w:rsidR="00830FAE" w:rsidRDefault="00830FAE"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2.09.8</w:t>
      </w:r>
      <w:r>
        <w:rPr>
          <w:rFonts w:asciiTheme="minorHAnsi" w:hAnsiTheme="minorHAnsi" w:cstheme="minorHAnsi"/>
          <w:sz w:val="22"/>
          <w:szCs w:val="22"/>
        </w:rPr>
        <w:tab/>
      </w:r>
      <w:r w:rsidR="008E46D1">
        <w:rPr>
          <w:rFonts w:asciiTheme="minorHAnsi" w:hAnsiTheme="minorHAnsi" w:cstheme="minorHAnsi"/>
          <w:sz w:val="22"/>
          <w:szCs w:val="22"/>
        </w:rPr>
        <w:t>O</w:t>
      </w:r>
      <w:r>
        <w:rPr>
          <w:rFonts w:asciiTheme="minorHAnsi" w:hAnsiTheme="minorHAnsi" w:cstheme="minorHAnsi"/>
          <w:sz w:val="22"/>
          <w:szCs w:val="22"/>
        </w:rPr>
        <w:t>n 28 Feb</w:t>
      </w:r>
      <w:r w:rsidR="003D1566">
        <w:rPr>
          <w:rFonts w:asciiTheme="minorHAnsi" w:hAnsiTheme="minorHAnsi" w:cstheme="minorHAnsi"/>
          <w:sz w:val="22"/>
          <w:szCs w:val="22"/>
        </w:rPr>
        <w:t>ruary</w:t>
      </w:r>
      <w:r>
        <w:rPr>
          <w:rFonts w:asciiTheme="minorHAnsi" w:hAnsiTheme="minorHAnsi" w:cstheme="minorHAnsi"/>
          <w:sz w:val="22"/>
          <w:szCs w:val="22"/>
        </w:rPr>
        <w:t xml:space="preserve"> 2020, the government </w:t>
      </w:r>
      <w:r w:rsidR="009505D2">
        <w:rPr>
          <w:rFonts w:asciiTheme="minorHAnsi" w:hAnsiTheme="minorHAnsi" w:cstheme="minorHAnsi"/>
          <w:sz w:val="22"/>
          <w:szCs w:val="22"/>
        </w:rPr>
        <w:t>told</w:t>
      </w:r>
      <w:r>
        <w:rPr>
          <w:rFonts w:asciiTheme="minorHAnsi" w:hAnsiTheme="minorHAnsi" w:cstheme="minorHAnsi"/>
          <w:sz w:val="22"/>
          <w:szCs w:val="22"/>
        </w:rPr>
        <w:t xml:space="preserve"> Parliament that they were “</w:t>
      </w:r>
      <w:r w:rsidRPr="00830FAE">
        <w:rPr>
          <w:rFonts w:asciiTheme="minorHAnsi" w:hAnsiTheme="minorHAnsi" w:cstheme="minorHAnsi"/>
          <w:sz w:val="22"/>
          <w:szCs w:val="22"/>
        </w:rPr>
        <w:t>studying recommendations to streamline and simplify the enforcement of judgments and orders</w:t>
      </w:r>
      <w:r>
        <w:rPr>
          <w:rFonts w:asciiTheme="minorHAnsi" w:hAnsiTheme="minorHAnsi" w:cstheme="minorHAnsi"/>
          <w:sz w:val="22"/>
          <w:szCs w:val="22"/>
        </w:rPr>
        <w:t xml:space="preserve">.” No details have </w:t>
      </w:r>
      <w:r w:rsidR="00956193">
        <w:rPr>
          <w:rFonts w:asciiTheme="minorHAnsi" w:hAnsiTheme="minorHAnsi" w:cstheme="minorHAnsi"/>
          <w:sz w:val="22"/>
          <w:szCs w:val="22"/>
        </w:rPr>
        <w:t xml:space="preserve">yet </w:t>
      </w:r>
      <w:r>
        <w:rPr>
          <w:rFonts w:asciiTheme="minorHAnsi" w:hAnsiTheme="minorHAnsi" w:cstheme="minorHAnsi"/>
          <w:sz w:val="22"/>
          <w:szCs w:val="22"/>
        </w:rPr>
        <w:t>been announced</w:t>
      </w:r>
      <w:r w:rsidR="00956193">
        <w:rPr>
          <w:rFonts w:asciiTheme="minorHAnsi" w:hAnsiTheme="minorHAnsi" w:cstheme="minorHAnsi"/>
          <w:sz w:val="22"/>
          <w:szCs w:val="22"/>
        </w:rPr>
        <w:t>.</w:t>
      </w:r>
    </w:p>
    <w:p w14:paraId="101136E1" w14:textId="77777777" w:rsidR="002C4A27" w:rsidRDefault="002C4A27" w:rsidP="009505D2">
      <w:pPr>
        <w:pStyle w:val="NormalWeb"/>
        <w:shd w:val="clear" w:color="auto" w:fill="FFFFFF"/>
        <w:spacing w:before="40" w:beforeAutospacing="0" w:after="40" w:afterAutospacing="0"/>
        <w:rPr>
          <w:rFonts w:asciiTheme="minorHAnsi" w:hAnsiTheme="minorHAnsi" w:cstheme="minorHAnsi"/>
          <w:sz w:val="22"/>
          <w:szCs w:val="22"/>
        </w:rPr>
      </w:pPr>
    </w:p>
    <w:p w14:paraId="26B385D7" w14:textId="77777777" w:rsidR="003D1566" w:rsidRDefault="003D1566" w:rsidP="009505D2">
      <w:pPr>
        <w:pStyle w:val="NormalWeb"/>
        <w:shd w:val="clear" w:color="auto" w:fill="FFFFFF"/>
        <w:spacing w:before="40" w:beforeAutospacing="0" w:after="40" w:afterAutospacing="0"/>
        <w:rPr>
          <w:rFonts w:asciiTheme="minorHAnsi" w:hAnsiTheme="minorHAnsi" w:cstheme="minorHAnsi"/>
          <w:sz w:val="22"/>
          <w:szCs w:val="22"/>
        </w:rPr>
      </w:pPr>
    </w:p>
    <w:p w14:paraId="69259D75" w14:textId="0F6859F7" w:rsidR="00F37720" w:rsidRPr="002C4A27" w:rsidRDefault="00604262" w:rsidP="009505D2">
      <w:pPr>
        <w:pStyle w:val="NormalWeb"/>
        <w:shd w:val="clear" w:color="auto" w:fill="FFFFFF"/>
        <w:spacing w:before="40" w:beforeAutospacing="0" w:after="40" w:afterAutospacing="0"/>
        <w:rPr>
          <w:rFonts w:asciiTheme="minorHAnsi" w:hAnsiTheme="minorHAnsi" w:cstheme="minorHAnsi"/>
          <w:b/>
          <w:bCs/>
        </w:rPr>
      </w:pPr>
      <w:bookmarkStart w:id="0" w:name="_Hlk52724951"/>
      <w:r w:rsidRPr="002C4A27">
        <w:rPr>
          <w:rFonts w:asciiTheme="minorHAnsi" w:hAnsiTheme="minorHAnsi" w:cstheme="minorHAnsi"/>
          <w:b/>
          <w:bCs/>
        </w:rPr>
        <w:t>SW-1</w:t>
      </w:r>
      <w:r w:rsidR="00AF3A8E" w:rsidRPr="002C4A27">
        <w:rPr>
          <w:rFonts w:asciiTheme="minorHAnsi" w:hAnsiTheme="minorHAnsi" w:cstheme="minorHAnsi"/>
          <w:b/>
          <w:bCs/>
        </w:rPr>
        <w:t>0</w:t>
      </w:r>
      <w:r w:rsidRPr="002C4A27">
        <w:rPr>
          <w:rFonts w:asciiTheme="minorHAnsi" w:hAnsiTheme="minorHAnsi" w:cstheme="minorHAnsi"/>
          <w:b/>
          <w:bCs/>
        </w:rPr>
        <w:t>. No wage protections when employer is insolvent or has absconded</w:t>
      </w:r>
    </w:p>
    <w:bookmarkEnd w:id="0"/>
    <w:p w14:paraId="79D0E4AF" w14:textId="77777777" w:rsidR="002C4A27" w:rsidRDefault="002C4A27" w:rsidP="009505D2">
      <w:pPr>
        <w:pStyle w:val="NormalWeb"/>
        <w:shd w:val="clear" w:color="auto" w:fill="FFFFFF"/>
        <w:spacing w:before="40" w:beforeAutospacing="0" w:after="40" w:afterAutospacing="0"/>
        <w:rPr>
          <w:rFonts w:asciiTheme="minorHAnsi" w:hAnsiTheme="minorHAnsi" w:cstheme="minorHAnsi"/>
          <w:sz w:val="22"/>
          <w:szCs w:val="22"/>
        </w:rPr>
      </w:pPr>
    </w:p>
    <w:p w14:paraId="7DAE7C3A" w14:textId="5C3931A2" w:rsidR="00604262"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2.10.1</w:t>
      </w:r>
      <w:r>
        <w:rPr>
          <w:rFonts w:asciiTheme="minorHAnsi" w:hAnsiTheme="minorHAnsi" w:cstheme="minorHAnsi"/>
          <w:sz w:val="22"/>
          <w:szCs w:val="22"/>
        </w:rPr>
        <w:tab/>
      </w:r>
      <w:r w:rsidR="00604262">
        <w:rPr>
          <w:rFonts w:asciiTheme="minorHAnsi" w:hAnsiTheme="minorHAnsi" w:cstheme="minorHAnsi"/>
          <w:sz w:val="22"/>
          <w:szCs w:val="22"/>
        </w:rPr>
        <w:t xml:space="preserve">Enforcement of court orders and settlement agreements are only meaningful if employers are still solvent or are within Singapore territory. TWC2 and HOME handle many cases where workers have no realistic chance of recovery of unpaid salaries because their employers are winding up or their bosses have fled the country. </w:t>
      </w:r>
    </w:p>
    <w:p w14:paraId="1931FFB7"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68C5DD12" w14:textId="6A755C00" w:rsidR="00AF3A8E"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lastRenderedPageBreak/>
        <w:t>2.10.2</w:t>
      </w:r>
      <w:r>
        <w:rPr>
          <w:rFonts w:asciiTheme="minorHAnsi" w:hAnsiTheme="minorHAnsi" w:cstheme="minorHAnsi"/>
          <w:sz w:val="22"/>
          <w:szCs w:val="22"/>
        </w:rPr>
        <w:tab/>
      </w:r>
      <w:r w:rsidR="002C4A27">
        <w:rPr>
          <w:rFonts w:asciiTheme="minorHAnsi" w:hAnsiTheme="minorHAnsi" w:cstheme="minorHAnsi"/>
          <w:sz w:val="22"/>
          <w:szCs w:val="22"/>
        </w:rPr>
        <w:t xml:space="preserve">In </w:t>
      </w:r>
      <w:r w:rsidR="002C4A27" w:rsidRPr="002C4A27">
        <w:rPr>
          <w:rFonts w:asciiTheme="minorHAnsi" w:hAnsiTheme="minorHAnsi" w:cstheme="minorHAnsi"/>
          <w:sz w:val="22"/>
          <w:szCs w:val="22"/>
        </w:rPr>
        <w:t>situation</w:t>
      </w:r>
      <w:r w:rsidR="002C4A27">
        <w:rPr>
          <w:rFonts w:asciiTheme="minorHAnsi" w:hAnsiTheme="minorHAnsi" w:cstheme="minorHAnsi"/>
          <w:sz w:val="22"/>
          <w:szCs w:val="22"/>
        </w:rPr>
        <w:t>s</w:t>
      </w:r>
      <w:r w:rsidR="002C4A27" w:rsidRPr="002C4A27">
        <w:rPr>
          <w:rFonts w:asciiTheme="minorHAnsi" w:hAnsiTheme="minorHAnsi" w:cstheme="minorHAnsi"/>
          <w:sz w:val="22"/>
          <w:szCs w:val="22"/>
        </w:rPr>
        <w:t xml:space="preserve"> where </w:t>
      </w:r>
      <w:r w:rsidR="002C4A27">
        <w:rPr>
          <w:rFonts w:asciiTheme="minorHAnsi" w:hAnsiTheme="minorHAnsi" w:cstheme="minorHAnsi"/>
          <w:sz w:val="22"/>
          <w:szCs w:val="22"/>
        </w:rPr>
        <w:t>workers’</w:t>
      </w:r>
      <w:r w:rsidR="002C4A27" w:rsidRPr="002C4A27">
        <w:rPr>
          <w:rFonts w:asciiTheme="minorHAnsi" w:hAnsiTheme="minorHAnsi" w:cstheme="minorHAnsi"/>
          <w:sz w:val="22"/>
          <w:szCs w:val="22"/>
        </w:rPr>
        <w:t xml:space="preserve"> legitimate claims remain unpaid</w:t>
      </w:r>
      <w:r w:rsidR="002C4A27">
        <w:rPr>
          <w:rFonts w:asciiTheme="minorHAnsi" w:hAnsiTheme="minorHAnsi" w:cstheme="minorHAnsi"/>
          <w:sz w:val="22"/>
          <w:szCs w:val="22"/>
        </w:rPr>
        <w:t xml:space="preserve">, </w:t>
      </w:r>
      <w:r w:rsidR="00AF3A8E">
        <w:rPr>
          <w:rFonts w:asciiTheme="minorHAnsi" w:hAnsiTheme="minorHAnsi" w:cstheme="minorHAnsi"/>
          <w:sz w:val="22"/>
          <w:szCs w:val="22"/>
        </w:rPr>
        <w:t>the government either leans on insurance companies (who had underwritten a Security Bond for the employer during the application for the work permit) or a government-linked non-profit organisation to provide a small sum to worker</w:t>
      </w:r>
      <w:r w:rsidR="002C4A27">
        <w:rPr>
          <w:rFonts w:asciiTheme="minorHAnsi" w:hAnsiTheme="minorHAnsi" w:cstheme="minorHAnsi"/>
          <w:sz w:val="22"/>
          <w:szCs w:val="22"/>
        </w:rPr>
        <w:t>.</w:t>
      </w:r>
      <w:r w:rsidR="00AF3A8E">
        <w:rPr>
          <w:rFonts w:asciiTheme="minorHAnsi" w:hAnsiTheme="minorHAnsi" w:cstheme="minorHAnsi"/>
          <w:sz w:val="22"/>
          <w:szCs w:val="22"/>
        </w:rPr>
        <w:t xml:space="preserve"> The amounts however are always less than the owed salaries </w:t>
      </w:r>
      <w:r w:rsidR="002C4A27">
        <w:rPr>
          <w:rFonts w:asciiTheme="minorHAnsi" w:hAnsiTheme="minorHAnsi" w:cstheme="minorHAnsi"/>
          <w:sz w:val="22"/>
          <w:szCs w:val="22"/>
        </w:rPr>
        <w:t xml:space="preserve">(sometimes as little as 10%) </w:t>
      </w:r>
      <w:r w:rsidR="00AF3A8E">
        <w:rPr>
          <w:rFonts w:asciiTheme="minorHAnsi" w:hAnsiTheme="minorHAnsi" w:cstheme="minorHAnsi"/>
          <w:sz w:val="22"/>
          <w:szCs w:val="22"/>
        </w:rPr>
        <w:t>and leave affected migrant workers in severe financial distress. Pay-outs are also discretionary and cannot be relied upon.</w:t>
      </w:r>
    </w:p>
    <w:p w14:paraId="335757AC"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2AD4E2A2" w14:textId="5F291555" w:rsidR="00AF3A8E"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2.10.3</w:t>
      </w:r>
      <w:r>
        <w:rPr>
          <w:rFonts w:asciiTheme="minorHAnsi" w:hAnsiTheme="minorHAnsi" w:cstheme="minorHAnsi"/>
          <w:sz w:val="22"/>
          <w:szCs w:val="22"/>
        </w:rPr>
        <w:tab/>
      </w:r>
      <w:r w:rsidR="00AF3A8E">
        <w:rPr>
          <w:rFonts w:asciiTheme="minorHAnsi" w:hAnsiTheme="minorHAnsi" w:cstheme="minorHAnsi"/>
          <w:sz w:val="22"/>
          <w:szCs w:val="22"/>
        </w:rPr>
        <w:t>Singapore needs to have a more formal wage insurance system or a fund that will assist workers with a much bigger portion of the owed debt.</w:t>
      </w:r>
      <w:r>
        <w:rPr>
          <w:rFonts w:asciiTheme="minorHAnsi" w:hAnsiTheme="minorHAnsi" w:cstheme="minorHAnsi"/>
          <w:sz w:val="22"/>
          <w:szCs w:val="22"/>
        </w:rPr>
        <w:t xml:space="preserve"> See</w:t>
      </w:r>
      <w:r w:rsidR="006639BE">
        <w:rPr>
          <w:rFonts w:asciiTheme="minorHAnsi" w:hAnsiTheme="minorHAnsi" w:cstheme="minorHAnsi"/>
          <w:sz w:val="22"/>
          <w:szCs w:val="22"/>
        </w:rPr>
        <w:t xml:space="preserve"> </w:t>
      </w:r>
      <w:r>
        <w:rPr>
          <w:rFonts w:asciiTheme="minorHAnsi" w:hAnsiTheme="minorHAnsi" w:cstheme="minorHAnsi"/>
          <w:sz w:val="22"/>
          <w:szCs w:val="22"/>
        </w:rPr>
        <w:t>recommendation RN-07 in Section 3.</w:t>
      </w:r>
    </w:p>
    <w:p w14:paraId="4FA8109B" w14:textId="38CB3C00" w:rsidR="00C92785" w:rsidRDefault="00C92785" w:rsidP="009505D2">
      <w:pPr>
        <w:pStyle w:val="NormalWeb"/>
        <w:shd w:val="clear" w:color="auto" w:fill="FFFFFF"/>
        <w:spacing w:before="40" w:beforeAutospacing="0" w:after="40" w:afterAutospacing="0"/>
        <w:rPr>
          <w:rFonts w:asciiTheme="minorHAnsi" w:hAnsiTheme="minorHAnsi" w:cstheme="minorHAnsi"/>
          <w:sz w:val="22"/>
          <w:szCs w:val="22"/>
        </w:rPr>
      </w:pPr>
    </w:p>
    <w:p w14:paraId="67C98FA8"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5213019C" w14:textId="690D869C" w:rsidR="00C741D6" w:rsidRPr="002C4A27" w:rsidRDefault="00C92785" w:rsidP="009505D2">
      <w:pPr>
        <w:pStyle w:val="NormalWeb"/>
        <w:shd w:val="clear" w:color="auto" w:fill="FFFFFF"/>
        <w:spacing w:before="40" w:beforeAutospacing="0" w:after="40" w:afterAutospacing="0"/>
        <w:rPr>
          <w:rFonts w:asciiTheme="minorHAnsi" w:hAnsiTheme="minorHAnsi" w:cstheme="minorHAnsi"/>
          <w:b/>
          <w:bCs/>
        </w:rPr>
      </w:pPr>
      <w:r w:rsidRPr="002C4A27">
        <w:rPr>
          <w:rFonts w:asciiTheme="minorHAnsi" w:hAnsiTheme="minorHAnsi" w:cstheme="minorHAnsi"/>
          <w:b/>
          <w:bCs/>
        </w:rPr>
        <w:t>SW-1</w:t>
      </w:r>
      <w:r w:rsidR="00AF3A8E" w:rsidRPr="002C4A27">
        <w:rPr>
          <w:rFonts w:asciiTheme="minorHAnsi" w:hAnsiTheme="minorHAnsi" w:cstheme="minorHAnsi"/>
          <w:b/>
          <w:bCs/>
        </w:rPr>
        <w:t>1</w:t>
      </w:r>
      <w:r w:rsidRPr="002C4A27">
        <w:rPr>
          <w:rFonts w:asciiTheme="minorHAnsi" w:hAnsiTheme="minorHAnsi" w:cstheme="minorHAnsi"/>
          <w:b/>
          <w:bCs/>
        </w:rPr>
        <w:t>. Job mobility still highly restricted</w:t>
      </w:r>
    </w:p>
    <w:p w14:paraId="1F960E0C"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56C896E8" w14:textId="5AA5B4C7" w:rsidR="00C92785"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2.11.1</w:t>
      </w:r>
      <w:r>
        <w:rPr>
          <w:rFonts w:asciiTheme="minorHAnsi" w:hAnsiTheme="minorHAnsi" w:cstheme="minorHAnsi"/>
          <w:sz w:val="22"/>
          <w:szCs w:val="22"/>
        </w:rPr>
        <w:tab/>
      </w:r>
      <w:r w:rsidR="00D606A9">
        <w:rPr>
          <w:rFonts w:asciiTheme="minorHAnsi" w:hAnsiTheme="minorHAnsi" w:cstheme="minorHAnsi"/>
          <w:sz w:val="22"/>
          <w:szCs w:val="22"/>
        </w:rPr>
        <w:t>At the root of migrant workers’ vulnerability to exploitation and abuse lies Singapore’s requirement that Work Permits should be tied to employers, who can cancel the permits at will at any time. Once cancelled, workers also lose their right to residency. Nor do they have a right to seek another job without first being repatriated. This creates a huge power imbalance between employers and migrant workers, exacerbating their vulnerability to</w:t>
      </w:r>
      <w:r w:rsidR="002F594D">
        <w:rPr>
          <w:rFonts w:asciiTheme="minorHAnsi" w:hAnsiTheme="minorHAnsi" w:cstheme="minorHAnsi"/>
          <w:sz w:val="22"/>
          <w:szCs w:val="22"/>
        </w:rPr>
        <w:t>, inter alia,</w:t>
      </w:r>
      <w:r w:rsidR="00D606A9">
        <w:rPr>
          <w:rFonts w:asciiTheme="minorHAnsi" w:hAnsiTheme="minorHAnsi" w:cstheme="minorHAnsi"/>
          <w:sz w:val="22"/>
          <w:szCs w:val="22"/>
        </w:rPr>
        <w:t xml:space="preserve"> salary abuses, contract substitution, long working </w:t>
      </w:r>
      <w:proofErr w:type="gramStart"/>
      <w:r w:rsidR="00D606A9">
        <w:rPr>
          <w:rFonts w:asciiTheme="minorHAnsi" w:hAnsiTheme="minorHAnsi" w:cstheme="minorHAnsi"/>
          <w:sz w:val="22"/>
          <w:szCs w:val="22"/>
        </w:rPr>
        <w:t>hours</w:t>
      </w:r>
      <w:proofErr w:type="gramEnd"/>
      <w:r w:rsidR="00D606A9">
        <w:rPr>
          <w:rFonts w:asciiTheme="minorHAnsi" w:hAnsiTheme="minorHAnsi" w:cstheme="minorHAnsi"/>
          <w:sz w:val="22"/>
          <w:szCs w:val="22"/>
        </w:rPr>
        <w:t xml:space="preserve"> </w:t>
      </w:r>
      <w:r w:rsidR="002F594D">
        <w:rPr>
          <w:rFonts w:asciiTheme="minorHAnsi" w:hAnsiTheme="minorHAnsi" w:cstheme="minorHAnsi"/>
          <w:sz w:val="22"/>
          <w:szCs w:val="22"/>
        </w:rPr>
        <w:t>and restrictions on movement.</w:t>
      </w:r>
    </w:p>
    <w:p w14:paraId="22152F01"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1498B659" w14:textId="21B904BE" w:rsidR="002F594D"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2.11.2</w:t>
      </w:r>
      <w:r>
        <w:rPr>
          <w:rFonts w:asciiTheme="minorHAnsi" w:hAnsiTheme="minorHAnsi" w:cstheme="minorHAnsi"/>
          <w:sz w:val="22"/>
          <w:szCs w:val="22"/>
        </w:rPr>
        <w:tab/>
      </w:r>
      <w:r w:rsidR="002F594D">
        <w:rPr>
          <w:rFonts w:asciiTheme="minorHAnsi" w:hAnsiTheme="minorHAnsi" w:cstheme="minorHAnsi"/>
          <w:sz w:val="22"/>
          <w:szCs w:val="22"/>
        </w:rPr>
        <w:t xml:space="preserve">At </w:t>
      </w:r>
      <w:r w:rsidR="00604262">
        <w:rPr>
          <w:rFonts w:asciiTheme="minorHAnsi" w:hAnsiTheme="minorHAnsi" w:cstheme="minorHAnsi"/>
          <w:sz w:val="22"/>
          <w:szCs w:val="22"/>
        </w:rPr>
        <w:t>its</w:t>
      </w:r>
      <w:r w:rsidR="002F594D">
        <w:rPr>
          <w:rFonts w:asciiTheme="minorHAnsi" w:hAnsiTheme="minorHAnsi" w:cstheme="minorHAnsi"/>
          <w:sz w:val="22"/>
          <w:szCs w:val="22"/>
        </w:rPr>
        <w:t xml:space="preserve"> margins, the</w:t>
      </w:r>
      <w:r w:rsidR="002C4A27">
        <w:rPr>
          <w:rFonts w:asciiTheme="minorHAnsi" w:hAnsiTheme="minorHAnsi" w:cstheme="minorHAnsi"/>
          <w:sz w:val="22"/>
          <w:szCs w:val="22"/>
        </w:rPr>
        <w:t>re are exceptions to the general rule:</w:t>
      </w:r>
    </w:p>
    <w:p w14:paraId="51F7BC86"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674095C2" w14:textId="28082FCE" w:rsidR="002F594D" w:rsidRDefault="00671BD6" w:rsidP="009505D2">
      <w:pPr>
        <w:pStyle w:val="NormalWeb"/>
        <w:shd w:val="clear" w:color="auto" w:fill="FFFFFF"/>
        <w:spacing w:before="40" w:beforeAutospacing="0" w:after="40" w:afterAutospacing="0"/>
        <w:ind w:left="1474" w:hanging="567"/>
        <w:rPr>
          <w:rFonts w:asciiTheme="minorHAnsi" w:hAnsiTheme="minorHAnsi" w:cstheme="minorHAnsi"/>
          <w:sz w:val="22"/>
          <w:szCs w:val="22"/>
        </w:rPr>
      </w:pPr>
      <w:r>
        <w:rPr>
          <w:rFonts w:asciiTheme="minorHAnsi" w:hAnsiTheme="minorHAnsi" w:cstheme="minorHAnsi"/>
          <w:sz w:val="22"/>
          <w:szCs w:val="22"/>
        </w:rPr>
        <w:t>(a)</w:t>
      </w:r>
      <w:r w:rsidR="00F62F3C">
        <w:rPr>
          <w:rFonts w:asciiTheme="minorHAnsi" w:hAnsiTheme="minorHAnsi" w:cstheme="minorHAnsi"/>
          <w:sz w:val="22"/>
          <w:szCs w:val="22"/>
        </w:rPr>
        <w:tab/>
      </w:r>
      <w:r w:rsidR="002F594D">
        <w:rPr>
          <w:rFonts w:asciiTheme="minorHAnsi" w:hAnsiTheme="minorHAnsi" w:cstheme="minorHAnsi"/>
          <w:sz w:val="22"/>
          <w:szCs w:val="22"/>
        </w:rPr>
        <w:t xml:space="preserve">When </w:t>
      </w:r>
      <w:r w:rsidR="002C4A27">
        <w:rPr>
          <w:rFonts w:asciiTheme="minorHAnsi" w:hAnsiTheme="minorHAnsi" w:cstheme="minorHAnsi"/>
          <w:sz w:val="22"/>
          <w:szCs w:val="22"/>
        </w:rPr>
        <w:t xml:space="preserve">an </w:t>
      </w:r>
      <w:r w:rsidR="002F594D">
        <w:rPr>
          <w:rFonts w:asciiTheme="minorHAnsi" w:hAnsiTheme="minorHAnsi" w:cstheme="minorHAnsi"/>
          <w:sz w:val="22"/>
          <w:szCs w:val="22"/>
        </w:rPr>
        <w:t>employer give</w:t>
      </w:r>
      <w:r w:rsidR="002C4A27">
        <w:rPr>
          <w:rFonts w:asciiTheme="minorHAnsi" w:hAnsiTheme="minorHAnsi" w:cstheme="minorHAnsi"/>
          <w:sz w:val="22"/>
          <w:szCs w:val="22"/>
        </w:rPr>
        <w:t>s</w:t>
      </w:r>
      <w:r w:rsidR="002F594D">
        <w:rPr>
          <w:rFonts w:asciiTheme="minorHAnsi" w:hAnsiTheme="minorHAnsi" w:cstheme="minorHAnsi"/>
          <w:sz w:val="22"/>
          <w:szCs w:val="22"/>
        </w:rPr>
        <w:t xml:space="preserve"> permission to </w:t>
      </w:r>
      <w:r w:rsidR="002C4A27">
        <w:rPr>
          <w:rFonts w:asciiTheme="minorHAnsi" w:hAnsiTheme="minorHAnsi" w:cstheme="minorHAnsi"/>
          <w:sz w:val="22"/>
          <w:szCs w:val="22"/>
        </w:rPr>
        <w:t>a</w:t>
      </w:r>
      <w:r w:rsidR="002F594D">
        <w:rPr>
          <w:rFonts w:asciiTheme="minorHAnsi" w:hAnsiTheme="minorHAnsi" w:cstheme="minorHAnsi"/>
          <w:sz w:val="22"/>
          <w:szCs w:val="22"/>
        </w:rPr>
        <w:t xml:space="preserve"> work permit holder to seek a transfer </w:t>
      </w:r>
      <w:proofErr w:type="gramStart"/>
      <w:r w:rsidR="002F594D">
        <w:rPr>
          <w:rFonts w:asciiTheme="minorHAnsi" w:hAnsiTheme="minorHAnsi" w:cstheme="minorHAnsi"/>
          <w:sz w:val="22"/>
          <w:szCs w:val="22"/>
        </w:rPr>
        <w:t>job;</w:t>
      </w:r>
      <w:proofErr w:type="gramEnd"/>
    </w:p>
    <w:p w14:paraId="5D1EC47B" w14:textId="77777777" w:rsidR="009505D2" w:rsidRDefault="009505D2" w:rsidP="009505D2">
      <w:pPr>
        <w:pStyle w:val="NormalWeb"/>
        <w:shd w:val="clear" w:color="auto" w:fill="FFFFFF"/>
        <w:spacing w:before="40" w:beforeAutospacing="0" w:after="40" w:afterAutospacing="0"/>
        <w:ind w:left="1474" w:hanging="567"/>
        <w:rPr>
          <w:rFonts w:asciiTheme="minorHAnsi" w:hAnsiTheme="minorHAnsi" w:cstheme="minorHAnsi"/>
          <w:sz w:val="22"/>
          <w:szCs w:val="22"/>
        </w:rPr>
      </w:pPr>
    </w:p>
    <w:p w14:paraId="1BA5B584" w14:textId="006489F0" w:rsidR="002F594D" w:rsidRDefault="00671BD6" w:rsidP="009505D2">
      <w:pPr>
        <w:pStyle w:val="NormalWeb"/>
        <w:shd w:val="clear" w:color="auto" w:fill="FFFFFF"/>
        <w:spacing w:before="40" w:beforeAutospacing="0" w:after="40" w:afterAutospacing="0"/>
        <w:ind w:left="1474" w:hanging="567"/>
        <w:rPr>
          <w:rFonts w:asciiTheme="minorHAnsi" w:hAnsiTheme="minorHAnsi" w:cstheme="minorHAnsi"/>
          <w:sz w:val="22"/>
          <w:szCs w:val="22"/>
        </w:rPr>
      </w:pPr>
      <w:r>
        <w:rPr>
          <w:rFonts w:asciiTheme="minorHAnsi" w:hAnsiTheme="minorHAnsi" w:cstheme="minorHAnsi"/>
          <w:sz w:val="22"/>
          <w:szCs w:val="22"/>
        </w:rPr>
        <w:t>(b)</w:t>
      </w:r>
      <w:r w:rsidR="002F594D">
        <w:rPr>
          <w:rFonts w:asciiTheme="minorHAnsi" w:hAnsiTheme="minorHAnsi" w:cstheme="minorHAnsi"/>
          <w:sz w:val="22"/>
          <w:szCs w:val="22"/>
        </w:rPr>
        <w:t xml:space="preserve"> </w:t>
      </w:r>
      <w:r w:rsidR="00F62F3C">
        <w:rPr>
          <w:rFonts w:asciiTheme="minorHAnsi" w:hAnsiTheme="minorHAnsi" w:cstheme="minorHAnsi"/>
          <w:sz w:val="22"/>
          <w:szCs w:val="22"/>
        </w:rPr>
        <w:tab/>
      </w:r>
      <w:r w:rsidR="002F594D">
        <w:rPr>
          <w:rFonts w:asciiTheme="minorHAnsi" w:hAnsiTheme="minorHAnsi" w:cstheme="minorHAnsi"/>
          <w:sz w:val="22"/>
          <w:szCs w:val="22"/>
        </w:rPr>
        <w:t xml:space="preserve">When a worker has a valid case that </w:t>
      </w:r>
      <w:r w:rsidR="002C4A27">
        <w:rPr>
          <w:rFonts w:asciiTheme="minorHAnsi" w:hAnsiTheme="minorHAnsi" w:cstheme="minorHAnsi"/>
          <w:sz w:val="22"/>
          <w:szCs w:val="22"/>
        </w:rPr>
        <w:t>the</w:t>
      </w:r>
      <w:r w:rsidR="002F594D">
        <w:rPr>
          <w:rFonts w:asciiTheme="minorHAnsi" w:hAnsiTheme="minorHAnsi" w:cstheme="minorHAnsi"/>
          <w:sz w:val="22"/>
          <w:szCs w:val="22"/>
        </w:rPr>
        <w:t xml:space="preserve"> employer has committed an infringement</w:t>
      </w:r>
      <w:r>
        <w:rPr>
          <w:rFonts w:asciiTheme="minorHAnsi" w:hAnsiTheme="minorHAnsi" w:cstheme="minorHAnsi"/>
          <w:sz w:val="22"/>
          <w:szCs w:val="22"/>
        </w:rPr>
        <w:t xml:space="preserve"> of law or </w:t>
      </w:r>
      <w:proofErr w:type="gramStart"/>
      <w:r>
        <w:rPr>
          <w:rFonts w:asciiTheme="minorHAnsi" w:hAnsiTheme="minorHAnsi" w:cstheme="minorHAnsi"/>
          <w:sz w:val="22"/>
          <w:szCs w:val="22"/>
        </w:rPr>
        <w:t>regulations</w:t>
      </w:r>
      <w:r w:rsidR="002F594D">
        <w:rPr>
          <w:rFonts w:asciiTheme="minorHAnsi" w:hAnsiTheme="minorHAnsi" w:cstheme="minorHAnsi"/>
          <w:sz w:val="22"/>
          <w:szCs w:val="22"/>
        </w:rPr>
        <w:t>;</w:t>
      </w:r>
      <w:proofErr w:type="gramEnd"/>
    </w:p>
    <w:p w14:paraId="2C0C7B34" w14:textId="77777777" w:rsidR="009505D2" w:rsidRDefault="009505D2" w:rsidP="009505D2">
      <w:pPr>
        <w:pStyle w:val="NormalWeb"/>
        <w:shd w:val="clear" w:color="auto" w:fill="FFFFFF"/>
        <w:spacing w:before="40" w:beforeAutospacing="0" w:after="40" w:afterAutospacing="0"/>
        <w:ind w:left="1474" w:hanging="567"/>
        <w:rPr>
          <w:rFonts w:asciiTheme="minorHAnsi" w:hAnsiTheme="minorHAnsi" w:cstheme="minorHAnsi"/>
          <w:sz w:val="22"/>
          <w:szCs w:val="22"/>
        </w:rPr>
      </w:pPr>
    </w:p>
    <w:p w14:paraId="634FFAC5" w14:textId="75DF4A83" w:rsidR="002F594D" w:rsidRDefault="00671BD6" w:rsidP="009505D2">
      <w:pPr>
        <w:pStyle w:val="NormalWeb"/>
        <w:shd w:val="clear" w:color="auto" w:fill="FFFFFF"/>
        <w:spacing w:before="40" w:beforeAutospacing="0" w:after="40" w:afterAutospacing="0"/>
        <w:ind w:left="1474" w:hanging="567"/>
        <w:rPr>
          <w:rFonts w:asciiTheme="minorHAnsi" w:hAnsiTheme="minorHAnsi" w:cstheme="minorHAnsi"/>
          <w:sz w:val="22"/>
          <w:szCs w:val="22"/>
        </w:rPr>
      </w:pPr>
      <w:r>
        <w:rPr>
          <w:rFonts w:asciiTheme="minorHAnsi" w:hAnsiTheme="minorHAnsi" w:cstheme="minorHAnsi"/>
          <w:sz w:val="22"/>
          <w:szCs w:val="22"/>
        </w:rPr>
        <w:t>(c)</w:t>
      </w:r>
      <w:r w:rsidR="002F594D">
        <w:rPr>
          <w:rFonts w:asciiTheme="minorHAnsi" w:hAnsiTheme="minorHAnsi" w:cstheme="minorHAnsi"/>
          <w:sz w:val="22"/>
          <w:szCs w:val="22"/>
        </w:rPr>
        <w:t xml:space="preserve"> </w:t>
      </w:r>
      <w:r w:rsidR="00F62F3C">
        <w:rPr>
          <w:rFonts w:asciiTheme="minorHAnsi" w:hAnsiTheme="minorHAnsi" w:cstheme="minorHAnsi"/>
          <w:sz w:val="22"/>
          <w:szCs w:val="22"/>
        </w:rPr>
        <w:tab/>
      </w:r>
      <w:r w:rsidR="002F594D">
        <w:rPr>
          <w:rFonts w:asciiTheme="minorHAnsi" w:hAnsiTheme="minorHAnsi" w:cstheme="minorHAnsi"/>
          <w:sz w:val="22"/>
          <w:szCs w:val="22"/>
        </w:rPr>
        <w:t>When a worker in construction and related field</w:t>
      </w:r>
      <w:r w:rsidR="00954B21">
        <w:rPr>
          <w:rFonts w:asciiTheme="minorHAnsi" w:hAnsiTheme="minorHAnsi" w:cstheme="minorHAnsi"/>
          <w:sz w:val="22"/>
          <w:szCs w:val="22"/>
        </w:rPr>
        <w:t>s</w:t>
      </w:r>
      <w:r w:rsidR="002F594D">
        <w:rPr>
          <w:rFonts w:asciiTheme="minorHAnsi" w:hAnsiTheme="minorHAnsi" w:cstheme="minorHAnsi"/>
          <w:sz w:val="22"/>
          <w:szCs w:val="22"/>
        </w:rPr>
        <w:t xml:space="preserve"> has been told that the employer does not intend to renew his work permit.</w:t>
      </w:r>
    </w:p>
    <w:p w14:paraId="123A7CE7"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31D9B9C1" w14:textId="6A381315" w:rsidR="00C92785" w:rsidRDefault="00671BD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2.11.3</w:t>
      </w:r>
      <w:r>
        <w:rPr>
          <w:rFonts w:asciiTheme="minorHAnsi" w:hAnsiTheme="minorHAnsi" w:cstheme="minorHAnsi"/>
          <w:sz w:val="22"/>
          <w:szCs w:val="22"/>
        </w:rPr>
        <w:tab/>
        <w:t>T</w:t>
      </w:r>
      <w:r w:rsidR="002F594D">
        <w:rPr>
          <w:rFonts w:asciiTheme="minorHAnsi" w:hAnsiTheme="minorHAnsi" w:cstheme="minorHAnsi"/>
          <w:sz w:val="22"/>
          <w:szCs w:val="22"/>
        </w:rPr>
        <w:t xml:space="preserve">he time window given to </w:t>
      </w:r>
      <w:r w:rsidR="00954B21">
        <w:rPr>
          <w:rFonts w:asciiTheme="minorHAnsi" w:hAnsiTheme="minorHAnsi" w:cstheme="minorHAnsi"/>
          <w:sz w:val="22"/>
          <w:szCs w:val="22"/>
        </w:rPr>
        <w:t>a</w:t>
      </w:r>
      <w:r w:rsidR="002F594D">
        <w:rPr>
          <w:rFonts w:asciiTheme="minorHAnsi" w:hAnsiTheme="minorHAnsi" w:cstheme="minorHAnsi"/>
          <w:sz w:val="22"/>
          <w:szCs w:val="22"/>
        </w:rPr>
        <w:t xml:space="preserve"> worker in the above situations is short</w:t>
      </w:r>
      <w:r w:rsidR="00A55B0F">
        <w:rPr>
          <w:rFonts w:asciiTheme="minorHAnsi" w:hAnsiTheme="minorHAnsi" w:cstheme="minorHAnsi"/>
          <w:sz w:val="22"/>
          <w:szCs w:val="22"/>
        </w:rPr>
        <w:t xml:space="preserve"> (</w:t>
      </w:r>
      <w:r w:rsidR="002F594D">
        <w:rPr>
          <w:rFonts w:asciiTheme="minorHAnsi" w:hAnsiTheme="minorHAnsi" w:cstheme="minorHAnsi"/>
          <w:sz w:val="22"/>
          <w:szCs w:val="22"/>
        </w:rPr>
        <w:t>usually 2 – 3 weeks</w:t>
      </w:r>
      <w:r w:rsidR="00A55B0F">
        <w:rPr>
          <w:rFonts w:asciiTheme="minorHAnsi" w:hAnsiTheme="minorHAnsi" w:cstheme="minorHAnsi"/>
          <w:sz w:val="22"/>
          <w:szCs w:val="22"/>
        </w:rPr>
        <w:t>)</w:t>
      </w:r>
      <w:r w:rsidR="002F594D">
        <w:rPr>
          <w:rFonts w:asciiTheme="minorHAnsi" w:hAnsiTheme="minorHAnsi" w:cstheme="minorHAnsi"/>
          <w:sz w:val="22"/>
          <w:szCs w:val="22"/>
        </w:rPr>
        <w:t xml:space="preserve"> and many migrant workers complain it is difficult to find new jobs </w:t>
      </w:r>
      <w:r w:rsidR="002C4A27">
        <w:rPr>
          <w:rFonts w:asciiTheme="minorHAnsi" w:hAnsiTheme="minorHAnsi" w:cstheme="minorHAnsi"/>
          <w:sz w:val="22"/>
          <w:szCs w:val="22"/>
        </w:rPr>
        <w:t>this quickly</w:t>
      </w:r>
      <w:r w:rsidR="00F73E5B">
        <w:rPr>
          <w:rStyle w:val="EndnoteReference"/>
          <w:rFonts w:asciiTheme="minorHAnsi" w:hAnsiTheme="minorHAnsi" w:cstheme="minorHAnsi"/>
          <w:sz w:val="22"/>
          <w:szCs w:val="22"/>
        </w:rPr>
        <w:endnoteReference w:id="36"/>
      </w:r>
      <w:r w:rsidR="002F594D">
        <w:rPr>
          <w:rFonts w:asciiTheme="minorHAnsi" w:hAnsiTheme="minorHAnsi" w:cstheme="minorHAnsi"/>
          <w:sz w:val="22"/>
          <w:szCs w:val="22"/>
        </w:rPr>
        <w:t>. In short, the marginal loosening</w:t>
      </w:r>
      <w:r w:rsidR="002C4A27">
        <w:rPr>
          <w:rFonts w:asciiTheme="minorHAnsi" w:hAnsiTheme="minorHAnsi" w:cstheme="minorHAnsi"/>
          <w:sz w:val="22"/>
          <w:szCs w:val="22"/>
        </w:rPr>
        <w:t xml:space="preserve"> of Singapore’s sponsorship system</w:t>
      </w:r>
      <w:r w:rsidR="002F594D">
        <w:rPr>
          <w:rFonts w:asciiTheme="minorHAnsi" w:hAnsiTheme="minorHAnsi" w:cstheme="minorHAnsi"/>
          <w:sz w:val="22"/>
          <w:szCs w:val="22"/>
        </w:rPr>
        <w:t xml:space="preserve"> does not go far enough to </w:t>
      </w:r>
      <w:r w:rsidR="00954B21">
        <w:rPr>
          <w:rFonts w:asciiTheme="minorHAnsi" w:hAnsiTheme="minorHAnsi" w:cstheme="minorHAnsi"/>
          <w:sz w:val="22"/>
          <w:szCs w:val="22"/>
        </w:rPr>
        <w:t>undo the vulnerability of migrant workers</w:t>
      </w:r>
      <w:r w:rsidR="002C4A27">
        <w:rPr>
          <w:rFonts w:asciiTheme="minorHAnsi" w:hAnsiTheme="minorHAnsi" w:cstheme="minorHAnsi"/>
          <w:sz w:val="22"/>
          <w:szCs w:val="22"/>
        </w:rPr>
        <w:t>.</w:t>
      </w:r>
      <w:r w:rsidR="00954B21">
        <w:rPr>
          <w:rFonts w:asciiTheme="minorHAnsi" w:hAnsiTheme="minorHAnsi" w:cstheme="minorHAnsi"/>
          <w:sz w:val="22"/>
          <w:szCs w:val="22"/>
        </w:rPr>
        <w:t xml:space="preserve"> </w:t>
      </w:r>
    </w:p>
    <w:p w14:paraId="7464F447"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1EC9C92D" w14:textId="3E379086" w:rsidR="00DA7322" w:rsidRDefault="00DA7322" w:rsidP="009505D2">
      <w:pPr>
        <w:pStyle w:val="NormalWeb"/>
        <w:shd w:val="clear" w:color="auto" w:fill="FFFFFF"/>
        <w:spacing w:before="40" w:beforeAutospacing="0" w:after="40" w:afterAutospacing="0"/>
        <w:rPr>
          <w:rFonts w:asciiTheme="minorHAnsi" w:hAnsiTheme="minorHAnsi" w:cstheme="minorHAnsi"/>
          <w:sz w:val="22"/>
          <w:szCs w:val="22"/>
        </w:rPr>
      </w:pPr>
    </w:p>
    <w:p w14:paraId="74B041F6" w14:textId="4E00C6C1" w:rsidR="00DA7322" w:rsidRPr="002C4A27" w:rsidRDefault="00DA7322" w:rsidP="009505D2">
      <w:pPr>
        <w:pStyle w:val="NormalWeb"/>
        <w:shd w:val="clear" w:color="auto" w:fill="FFFFFF"/>
        <w:spacing w:before="40" w:beforeAutospacing="0" w:after="40" w:afterAutospacing="0"/>
        <w:rPr>
          <w:rFonts w:asciiTheme="minorHAnsi" w:hAnsiTheme="minorHAnsi" w:cstheme="minorHAnsi"/>
          <w:b/>
          <w:bCs/>
        </w:rPr>
      </w:pPr>
      <w:bookmarkStart w:id="1" w:name="_Hlk52718874"/>
      <w:r w:rsidRPr="002C4A27">
        <w:rPr>
          <w:rFonts w:asciiTheme="minorHAnsi" w:hAnsiTheme="minorHAnsi" w:cstheme="minorHAnsi"/>
          <w:b/>
          <w:bCs/>
        </w:rPr>
        <w:t>SW-1</w:t>
      </w:r>
      <w:r w:rsidR="00AF3A8E" w:rsidRPr="002C4A27">
        <w:rPr>
          <w:rFonts w:asciiTheme="minorHAnsi" w:hAnsiTheme="minorHAnsi" w:cstheme="minorHAnsi"/>
          <w:b/>
          <w:bCs/>
        </w:rPr>
        <w:t>2</w:t>
      </w:r>
      <w:r w:rsidRPr="002C4A27">
        <w:rPr>
          <w:rFonts w:asciiTheme="minorHAnsi" w:hAnsiTheme="minorHAnsi" w:cstheme="minorHAnsi"/>
          <w:b/>
          <w:bCs/>
        </w:rPr>
        <w:t>. Passports and travel documents routinely retained by employers</w:t>
      </w:r>
    </w:p>
    <w:bookmarkEnd w:id="1"/>
    <w:p w14:paraId="69E7900A"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6B567ABB" w14:textId="5FFC376F" w:rsidR="00DA7322" w:rsidRDefault="00824C4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2.12.1</w:t>
      </w:r>
      <w:r>
        <w:rPr>
          <w:rFonts w:asciiTheme="minorHAnsi" w:hAnsiTheme="minorHAnsi" w:cstheme="minorHAnsi"/>
          <w:sz w:val="22"/>
          <w:szCs w:val="22"/>
        </w:rPr>
        <w:tab/>
      </w:r>
      <w:r w:rsidR="00DA7322">
        <w:rPr>
          <w:rFonts w:asciiTheme="minorHAnsi" w:hAnsiTheme="minorHAnsi" w:cstheme="minorHAnsi"/>
          <w:sz w:val="22"/>
          <w:szCs w:val="22"/>
        </w:rPr>
        <w:t xml:space="preserve">The great majority of migrant workers whom HOME and TWC2 have met have reported that their passports and travel documents are routinely retained by their employers. </w:t>
      </w:r>
    </w:p>
    <w:p w14:paraId="1D32728E"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54A99BC6" w14:textId="422D0109" w:rsidR="00823E58" w:rsidRDefault="00824C4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2.12.2</w:t>
      </w:r>
      <w:r>
        <w:rPr>
          <w:rFonts w:asciiTheme="minorHAnsi" w:hAnsiTheme="minorHAnsi" w:cstheme="minorHAnsi"/>
          <w:sz w:val="22"/>
          <w:szCs w:val="22"/>
        </w:rPr>
        <w:tab/>
      </w:r>
      <w:r w:rsidR="00281A19">
        <w:rPr>
          <w:rFonts w:asciiTheme="minorHAnsi" w:hAnsiTheme="minorHAnsi" w:cstheme="minorHAnsi"/>
          <w:sz w:val="22"/>
          <w:szCs w:val="22"/>
        </w:rPr>
        <w:t>Most of the time however, employers will release the documents to them if they have a need for them, e.g. renewal of passport, and workers do not often see retention of their passports and travel documents as a serious issue. This however is related to the fact th</w:t>
      </w:r>
      <w:r>
        <w:rPr>
          <w:rFonts w:asciiTheme="minorHAnsi" w:hAnsiTheme="minorHAnsi" w:cstheme="minorHAnsi"/>
          <w:sz w:val="22"/>
          <w:szCs w:val="22"/>
        </w:rPr>
        <w:t>at</w:t>
      </w:r>
      <w:r w:rsidR="00281A19">
        <w:rPr>
          <w:rFonts w:asciiTheme="minorHAnsi" w:hAnsiTheme="minorHAnsi" w:cstheme="minorHAnsi"/>
          <w:sz w:val="22"/>
          <w:szCs w:val="22"/>
        </w:rPr>
        <w:t xml:space="preserve"> few workers have secure storage for critical items in their employer-provided accommodation, and the need therefore is to first ensure that they do have such secure storage</w:t>
      </w:r>
      <w:r>
        <w:rPr>
          <w:rFonts w:asciiTheme="minorHAnsi" w:hAnsiTheme="minorHAnsi" w:cstheme="minorHAnsi"/>
          <w:sz w:val="22"/>
          <w:szCs w:val="22"/>
        </w:rPr>
        <w:t xml:space="preserve"> before we can address the issue of passport retention.</w:t>
      </w:r>
    </w:p>
    <w:p w14:paraId="538D9654" w14:textId="79CCE91B"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4517B3C9"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20364CC2" w14:textId="398D507C" w:rsidR="00823E58" w:rsidRPr="002C4A27" w:rsidRDefault="00823E58" w:rsidP="009505D2">
      <w:pPr>
        <w:pStyle w:val="NormalWeb"/>
        <w:shd w:val="clear" w:color="auto" w:fill="FFFFFF"/>
        <w:spacing w:before="40" w:beforeAutospacing="0" w:after="40" w:afterAutospacing="0"/>
        <w:rPr>
          <w:rFonts w:asciiTheme="minorHAnsi" w:hAnsiTheme="minorHAnsi" w:cstheme="minorHAnsi"/>
          <w:b/>
          <w:bCs/>
        </w:rPr>
      </w:pPr>
      <w:bookmarkStart w:id="2" w:name="_Hlk52718895"/>
      <w:r w:rsidRPr="002C4A27">
        <w:rPr>
          <w:rFonts w:asciiTheme="minorHAnsi" w:hAnsiTheme="minorHAnsi" w:cstheme="minorHAnsi"/>
          <w:b/>
          <w:bCs/>
        </w:rPr>
        <w:t>SW-1</w:t>
      </w:r>
      <w:r w:rsidR="00AF3A8E" w:rsidRPr="002C4A27">
        <w:rPr>
          <w:rFonts w:asciiTheme="minorHAnsi" w:hAnsiTheme="minorHAnsi" w:cstheme="minorHAnsi"/>
          <w:b/>
          <w:bCs/>
        </w:rPr>
        <w:t>3</w:t>
      </w:r>
      <w:r w:rsidRPr="002C4A27">
        <w:rPr>
          <w:rFonts w:asciiTheme="minorHAnsi" w:hAnsiTheme="minorHAnsi" w:cstheme="minorHAnsi"/>
          <w:b/>
          <w:bCs/>
        </w:rPr>
        <w:t>. Access to healthcare highly dependent on employers</w:t>
      </w:r>
    </w:p>
    <w:bookmarkEnd w:id="2"/>
    <w:p w14:paraId="3C026016"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11773E9B" w14:textId="356EA029" w:rsidR="00C92785" w:rsidRDefault="00824C4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w:t>
      </w:r>
      <w:r w:rsidR="009505D2">
        <w:rPr>
          <w:rFonts w:asciiTheme="minorHAnsi" w:hAnsiTheme="minorHAnsi" w:cstheme="minorHAnsi"/>
          <w:sz w:val="22"/>
          <w:szCs w:val="22"/>
        </w:rPr>
        <w:t>.</w:t>
      </w:r>
      <w:r>
        <w:rPr>
          <w:rFonts w:asciiTheme="minorHAnsi" w:hAnsiTheme="minorHAnsi" w:cstheme="minorHAnsi"/>
          <w:sz w:val="22"/>
          <w:szCs w:val="22"/>
        </w:rPr>
        <w:t>13.1</w:t>
      </w:r>
      <w:r w:rsidR="0094528E">
        <w:rPr>
          <w:rFonts w:asciiTheme="minorHAnsi" w:hAnsiTheme="minorHAnsi" w:cstheme="minorHAnsi"/>
          <w:sz w:val="22"/>
          <w:szCs w:val="22"/>
        </w:rPr>
        <w:tab/>
      </w:r>
      <w:r w:rsidR="00823E58">
        <w:rPr>
          <w:rFonts w:asciiTheme="minorHAnsi" w:hAnsiTheme="minorHAnsi" w:cstheme="minorHAnsi"/>
          <w:sz w:val="22"/>
          <w:szCs w:val="22"/>
        </w:rPr>
        <w:t xml:space="preserve">The Employment of Foreign Manpower Act and the Work Injury Compensation Act require employers to purchase insurance for migrant workers’ medical needs. However, these provisions only protect employers against unforeseen costs; they do not directly improve access to healthcare for the workers themselves. </w:t>
      </w:r>
    </w:p>
    <w:p w14:paraId="700327CC"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666AB397" w14:textId="7C3BABA4" w:rsidR="00823E58" w:rsidRDefault="00824C4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2.13.2</w:t>
      </w:r>
      <w:r>
        <w:rPr>
          <w:rFonts w:asciiTheme="minorHAnsi" w:hAnsiTheme="minorHAnsi" w:cstheme="minorHAnsi"/>
          <w:sz w:val="22"/>
          <w:szCs w:val="22"/>
        </w:rPr>
        <w:tab/>
      </w:r>
      <w:r w:rsidR="00823E58">
        <w:rPr>
          <w:rFonts w:asciiTheme="minorHAnsi" w:hAnsiTheme="minorHAnsi" w:cstheme="minorHAnsi"/>
          <w:sz w:val="22"/>
          <w:szCs w:val="22"/>
        </w:rPr>
        <w:t xml:space="preserve">Except </w:t>
      </w:r>
      <w:r w:rsidR="002C4A27">
        <w:rPr>
          <w:rFonts w:asciiTheme="minorHAnsi" w:hAnsiTheme="minorHAnsi" w:cstheme="minorHAnsi"/>
          <w:sz w:val="22"/>
          <w:szCs w:val="22"/>
        </w:rPr>
        <w:t>in</w:t>
      </w:r>
      <w:r w:rsidR="00823E58">
        <w:rPr>
          <w:rFonts w:asciiTheme="minorHAnsi" w:hAnsiTheme="minorHAnsi" w:cstheme="minorHAnsi"/>
          <w:sz w:val="22"/>
          <w:szCs w:val="22"/>
        </w:rPr>
        <w:t xml:space="preserve"> dire emergencies, healthcare providers typically require employers to furnish letters of guarantee before they will </w:t>
      </w:r>
      <w:r w:rsidR="003879C1">
        <w:rPr>
          <w:rFonts w:asciiTheme="minorHAnsi" w:hAnsiTheme="minorHAnsi" w:cstheme="minorHAnsi"/>
          <w:sz w:val="22"/>
          <w:szCs w:val="22"/>
        </w:rPr>
        <w:t>proceed with surgery or costly diagnostic tests. HOME and TWC2 have observed many cases where employers refuse to furnish such guarantees (even when they have insurance that will cover the costs), leaving workers without the medical treatment</w:t>
      </w:r>
      <w:r w:rsidR="009505D2">
        <w:rPr>
          <w:rFonts w:asciiTheme="minorHAnsi" w:hAnsiTheme="minorHAnsi" w:cstheme="minorHAnsi"/>
          <w:sz w:val="22"/>
          <w:szCs w:val="22"/>
        </w:rPr>
        <w:t xml:space="preserve"> or tests</w:t>
      </w:r>
      <w:r w:rsidR="003879C1">
        <w:rPr>
          <w:rFonts w:asciiTheme="minorHAnsi" w:hAnsiTheme="minorHAnsi" w:cstheme="minorHAnsi"/>
          <w:sz w:val="22"/>
          <w:szCs w:val="22"/>
        </w:rPr>
        <w:t xml:space="preserve"> that doctors consider appropriate</w:t>
      </w:r>
      <w:r w:rsidR="00A55B0F" w:rsidRPr="00FB3204">
        <w:rPr>
          <w:rStyle w:val="EndnoteReference"/>
          <w:rFonts w:asciiTheme="minorHAnsi" w:hAnsiTheme="minorHAnsi" w:cstheme="minorHAnsi"/>
          <w:sz w:val="22"/>
          <w:szCs w:val="22"/>
        </w:rPr>
        <w:endnoteReference w:id="37"/>
      </w:r>
      <w:r w:rsidR="00A55B0F" w:rsidRPr="00FB3204">
        <w:rPr>
          <w:rFonts w:asciiTheme="minorHAnsi" w:hAnsiTheme="minorHAnsi" w:cstheme="minorHAnsi"/>
          <w:sz w:val="22"/>
          <w:szCs w:val="22"/>
          <w:vertAlign w:val="superscript"/>
        </w:rPr>
        <w:t xml:space="preserve">, </w:t>
      </w:r>
      <w:r w:rsidR="00A55B0F" w:rsidRPr="00FB3204">
        <w:rPr>
          <w:rStyle w:val="EndnoteReference"/>
          <w:rFonts w:asciiTheme="minorHAnsi" w:hAnsiTheme="minorHAnsi" w:cstheme="minorHAnsi"/>
          <w:sz w:val="22"/>
          <w:szCs w:val="22"/>
        </w:rPr>
        <w:endnoteReference w:id="38"/>
      </w:r>
      <w:r w:rsidR="003879C1">
        <w:rPr>
          <w:rFonts w:asciiTheme="minorHAnsi" w:hAnsiTheme="minorHAnsi" w:cstheme="minorHAnsi"/>
          <w:sz w:val="22"/>
          <w:szCs w:val="22"/>
        </w:rPr>
        <w:t xml:space="preserve">. </w:t>
      </w:r>
    </w:p>
    <w:p w14:paraId="3A0A3FB9" w14:textId="77777777" w:rsidR="009505D2"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6E21E004" w14:textId="363B68EF" w:rsidR="00F03FA4" w:rsidRDefault="00824C46" w:rsidP="009505D2">
      <w:pPr>
        <w:pStyle w:val="NormalWeb"/>
        <w:shd w:val="clear" w:color="auto" w:fill="FFFFFF"/>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2.13.3</w:t>
      </w:r>
      <w:r>
        <w:rPr>
          <w:rFonts w:asciiTheme="minorHAnsi" w:hAnsiTheme="minorHAnsi" w:cstheme="minorHAnsi"/>
          <w:sz w:val="22"/>
          <w:szCs w:val="22"/>
        </w:rPr>
        <w:tab/>
      </w:r>
      <w:r w:rsidR="00F03FA4">
        <w:rPr>
          <w:rFonts w:asciiTheme="minorHAnsi" w:hAnsiTheme="minorHAnsi" w:cstheme="minorHAnsi"/>
          <w:sz w:val="22"/>
          <w:szCs w:val="22"/>
        </w:rPr>
        <w:t>Whereas Singapore subsidises the cost of healthcare for citizens, no subsidies are extended to benefit migrant workers. Given the low salaries that many of them earn, there is no realistic way for them to pay for their own healthcare needs if their employer</w:t>
      </w:r>
      <w:r>
        <w:rPr>
          <w:rFonts w:asciiTheme="minorHAnsi" w:hAnsiTheme="minorHAnsi" w:cstheme="minorHAnsi"/>
          <w:sz w:val="22"/>
          <w:szCs w:val="22"/>
        </w:rPr>
        <w:t xml:space="preserve">s </w:t>
      </w:r>
      <w:r w:rsidR="00F03FA4">
        <w:rPr>
          <w:rFonts w:asciiTheme="minorHAnsi" w:hAnsiTheme="minorHAnsi" w:cstheme="minorHAnsi"/>
          <w:sz w:val="22"/>
          <w:szCs w:val="22"/>
        </w:rPr>
        <w:t>prove obstructive.</w:t>
      </w:r>
    </w:p>
    <w:p w14:paraId="203572AA" w14:textId="77777777" w:rsidR="009505D2" w:rsidRPr="003D084A" w:rsidRDefault="009505D2" w:rsidP="009505D2">
      <w:pPr>
        <w:pStyle w:val="NormalWeb"/>
        <w:shd w:val="clear" w:color="auto" w:fill="FFFFFF"/>
        <w:spacing w:before="40" w:beforeAutospacing="0" w:after="40" w:afterAutospacing="0"/>
        <w:rPr>
          <w:rFonts w:asciiTheme="minorHAnsi" w:hAnsiTheme="minorHAnsi" w:cstheme="minorHAnsi"/>
          <w:sz w:val="22"/>
          <w:szCs w:val="22"/>
        </w:rPr>
      </w:pPr>
    </w:p>
    <w:p w14:paraId="41851F9D" w14:textId="54AB02D9" w:rsidR="0072209A" w:rsidRDefault="0072209A" w:rsidP="009505D2">
      <w:pPr>
        <w:spacing w:before="40" w:after="40" w:line="240" w:lineRule="auto"/>
        <w:rPr>
          <w:color w:val="000000"/>
          <w:lang w:eastAsia="en-GB"/>
        </w:rPr>
      </w:pPr>
    </w:p>
    <w:p w14:paraId="1A6C4AC6" w14:textId="5048864C" w:rsidR="001C7439" w:rsidRPr="003D7FAA" w:rsidRDefault="00844DEB" w:rsidP="009505D2">
      <w:pPr>
        <w:spacing w:before="40" w:after="40" w:line="240" w:lineRule="auto"/>
        <w:rPr>
          <w:b/>
          <w:bCs/>
          <w:sz w:val="24"/>
          <w:szCs w:val="24"/>
          <w:lang w:eastAsia="en-GB"/>
        </w:rPr>
      </w:pPr>
      <w:bookmarkStart w:id="3" w:name="_Hlk52714576"/>
      <w:r w:rsidRPr="003D7FAA">
        <w:rPr>
          <w:b/>
          <w:bCs/>
          <w:sz w:val="24"/>
          <w:szCs w:val="24"/>
          <w:lang w:eastAsia="en-GB"/>
        </w:rPr>
        <w:t>SW-</w:t>
      </w:r>
      <w:r w:rsidR="00FC7A6A" w:rsidRPr="003D7FAA">
        <w:rPr>
          <w:b/>
          <w:bCs/>
          <w:sz w:val="24"/>
          <w:szCs w:val="24"/>
          <w:lang w:eastAsia="en-GB"/>
        </w:rPr>
        <w:t>1</w:t>
      </w:r>
      <w:r w:rsidR="00AF3A8E" w:rsidRPr="003D7FAA">
        <w:rPr>
          <w:b/>
          <w:bCs/>
          <w:sz w:val="24"/>
          <w:szCs w:val="24"/>
          <w:lang w:eastAsia="en-GB"/>
        </w:rPr>
        <w:t>4</w:t>
      </w:r>
      <w:r w:rsidRPr="003D7FAA">
        <w:rPr>
          <w:b/>
          <w:bCs/>
          <w:sz w:val="24"/>
          <w:szCs w:val="24"/>
          <w:lang w:eastAsia="en-GB"/>
        </w:rPr>
        <w:t xml:space="preserve">. Superficial engagement with civil society </w:t>
      </w:r>
    </w:p>
    <w:bookmarkEnd w:id="3"/>
    <w:p w14:paraId="2CC712FF" w14:textId="1F913E1B" w:rsidR="001C7439" w:rsidRPr="009505D2" w:rsidRDefault="001C7439" w:rsidP="009505D2">
      <w:pPr>
        <w:spacing w:before="40" w:after="40" w:line="240" w:lineRule="auto"/>
        <w:rPr>
          <w:b/>
          <w:bCs/>
          <w:lang w:eastAsia="en-GB"/>
        </w:rPr>
      </w:pPr>
    </w:p>
    <w:p w14:paraId="506039AD" w14:textId="5D1FF095" w:rsidR="001C7439" w:rsidRPr="009505D2" w:rsidRDefault="00824C46" w:rsidP="009505D2">
      <w:pPr>
        <w:spacing w:before="40" w:after="40" w:line="240" w:lineRule="auto"/>
        <w:rPr>
          <w:lang w:eastAsia="en-GB"/>
        </w:rPr>
      </w:pPr>
      <w:r w:rsidRPr="009505D2">
        <w:rPr>
          <w:lang w:eastAsia="en-GB"/>
        </w:rPr>
        <w:t>2.14.1</w:t>
      </w:r>
      <w:r w:rsidRPr="009505D2">
        <w:rPr>
          <w:lang w:eastAsia="en-GB"/>
        </w:rPr>
        <w:tab/>
      </w:r>
      <w:r w:rsidR="001C7439" w:rsidRPr="009505D2">
        <w:rPr>
          <w:lang w:eastAsia="en-GB"/>
        </w:rPr>
        <w:t>Whilst there is the occasional dialogue session organised by the government with HOME and TWC2, it is often made clear that broader policy issues are off the table</w:t>
      </w:r>
      <w:r w:rsidR="009505D2" w:rsidRPr="009505D2">
        <w:rPr>
          <w:lang w:eastAsia="en-GB"/>
        </w:rPr>
        <w:t>, and o</w:t>
      </w:r>
      <w:r w:rsidR="001C7439" w:rsidRPr="009505D2">
        <w:rPr>
          <w:lang w:eastAsia="en-GB"/>
        </w:rPr>
        <w:t xml:space="preserve">nly case-specific matters or implementation details of already-decided policies are open for discussion. </w:t>
      </w:r>
    </w:p>
    <w:p w14:paraId="327D6231" w14:textId="0F2CB4A4" w:rsidR="001C7439" w:rsidRPr="009505D2" w:rsidRDefault="001C7439" w:rsidP="009505D2">
      <w:pPr>
        <w:spacing w:before="40" w:after="40" w:line="240" w:lineRule="auto"/>
        <w:rPr>
          <w:lang w:eastAsia="en-GB"/>
        </w:rPr>
      </w:pPr>
    </w:p>
    <w:p w14:paraId="411AABF4" w14:textId="621A237E" w:rsidR="001C7439" w:rsidRPr="009505D2" w:rsidRDefault="00824C46" w:rsidP="009505D2">
      <w:pPr>
        <w:spacing w:before="40" w:after="40" w:line="240" w:lineRule="auto"/>
        <w:rPr>
          <w:lang w:eastAsia="en-GB"/>
        </w:rPr>
      </w:pPr>
      <w:r w:rsidRPr="009505D2">
        <w:rPr>
          <w:lang w:eastAsia="en-GB"/>
        </w:rPr>
        <w:t>2.14.2</w:t>
      </w:r>
      <w:r w:rsidRPr="009505D2">
        <w:rPr>
          <w:lang w:eastAsia="en-GB"/>
        </w:rPr>
        <w:tab/>
      </w:r>
      <w:r w:rsidR="001C7439" w:rsidRPr="009505D2">
        <w:rPr>
          <w:lang w:eastAsia="en-GB"/>
        </w:rPr>
        <w:t xml:space="preserve">Attempts to seek clarification of or discussion over policy are </w:t>
      </w:r>
      <w:r w:rsidR="009505D2" w:rsidRPr="009505D2">
        <w:rPr>
          <w:lang w:eastAsia="en-GB"/>
        </w:rPr>
        <w:t>too often fruitless</w:t>
      </w:r>
      <w:r w:rsidR="001C7439" w:rsidRPr="009505D2">
        <w:rPr>
          <w:rStyle w:val="EndnoteReference"/>
          <w:lang w:eastAsia="en-GB"/>
        </w:rPr>
        <w:endnoteReference w:id="39"/>
      </w:r>
      <w:r w:rsidR="001C7439" w:rsidRPr="009505D2">
        <w:rPr>
          <w:lang w:eastAsia="en-GB"/>
        </w:rPr>
        <w:t xml:space="preserve">. </w:t>
      </w:r>
    </w:p>
    <w:p w14:paraId="16918116" w14:textId="77777777" w:rsidR="001C7439" w:rsidRPr="00844DEB" w:rsidRDefault="001C7439" w:rsidP="009505D2">
      <w:pPr>
        <w:spacing w:before="40" w:after="40" w:line="240" w:lineRule="auto"/>
        <w:rPr>
          <w:color w:val="000000"/>
          <w:lang w:eastAsia="en-GB"/>
        </w:rPr>
      </w:pPr>
    </w:p>
    <w:p w14:paraId="7C43CEC4" w14:textId="77777777" w:rsidR="001C7439" w:rsidRDefault="001C7439" w:rsidP="009505D2">
      <w:pPr>
        <w:spacing w:before="40" w:after="40" w:line="240" w:lineRule="auto"/>
        <w:rPr>
          <w:b/>
          <w:bCs/>
          <w:color w:val="000000"/>
          <w:lang w:eastAsia="en-GB"/>
        </w:rPr>
      </w:pPr>
    </w:p>
    <w:p w14:paraId="3F993179" w14:textId="19E4EBEF" w:rsidR="003D084A" w:rsidRPr="003D7FAA" w:rsidRDefault="001C7439" w:rsidP="009505D2">
      <w:pPr>
        <w:spacing w:before="40" w:after="40" w:line="240" w:lineRule="auto"/>
        <w:rPr>
          <w:b/>
          <w:bCs/>
          <w:color w:val="000000"/>
          <w:sz w:val="24"/>
          <w:szCs w:val="24"/>
          <w:lang w:eastAsia="en-GB"/>
        </w:rPr>
      </w:pPr>
      <w:bookmarkStart w:id="4" w:name="_Hlk52714592"/>
      <w:r w:rsidRPr="003D7FAA">
        <w:rPr>
          <w:b/>
          <w:bCs/>
          <w:color w:val="000000"/>
          <w:sz w:val="24"/>
          <w:szCs w:val="24"/>
          <w:lang w:eastAsia="en-GB"/>
        </w:rPr>
        <w:t>SW-</w:t>
      </w:r>
      <w:r w:rsidR="00FC7A6A" w:rsidRPr="003D7FAA">
        <w:rPr>
          <w:b/>
          <w:bCs/>
          <w:color w:val="000000"/>
          <w:sz w:val="24"/>
          <w:szCs w:val="24"/>
          <w:lang w:eastAsia="en-GB"/>
        </w:rPr>
        <w:t>1</w:t>
      </w:r>
      <w:r w:rsidR="00AF3A8E" w:rsidRPr="003D7FAA">
        <w:rPr>
          <w:b/>
          <w:bCs/>
          <w:color w:val="000000"/>
          <w:sz w:val="24"/>
          <w:szCs w:val="24"/>
          <w:lang w:eastAsia="en-GB"/>
        </w:rPr>
        <w:t>5</w:t>
      </w:r>
      <w:r w:rsidRPr="003D7FAA">
        <w:rPr>
          <w:b/>
          <w:bCs/>
          <w:color w:val="000000"/>
          <w:sz w:val="24"/>
          <w:szCs w:val="24"/>
          <w:lang w:eastAsia="en-GB"/>
        </w:rPr>
        <w:t>. Over-broad fake news law chills speech and reduces room for civil society</w:t>
      </w:r>
    </w:p>
    <w:bookmarkEnd w:id="4"/>
    <w:p w14:paraId="7C8D7A33" w14:textId="5A95F72E" w:rsidR="00844DEB" w:rsidRDefault="00844DEB" w:rsidP="009505D2">
      <w:pPr>
        <w:spacing w:before="40" w:after="40" w:line="240" w:lineRule="auto"/>
        <w:rPr>
          <w:color w:val="000000"/>
          <w:lang w:eastAsia="en-GB"/>
        </w:rPr>
      </w:pPr>
    </w:p>
    <w:p w14:paraId="259ED1BB" w14:textId="780E6A3F" w:rsidR="003D084A" w:rsidRDefault="00824C46" w:rsidP="009505D2">
      <w:pPr>
        <w:spacing w:before="40" w:after="40" w:line="240" w:lineRule="auto"/>
        <w:rPr>
          <w:color w:val="000000"/>
          <w:lang w:eastAsia="en-GB"/>
        </w:rPr>
      </w:pPr>
      <w:r>
        <w:rPr>
          <w:color w:val="000000"/>
          <w:lang w:eastAsia="en-GB"/>
        </w:rPr>
        <w:t>2.15.1</w:t>
      </w:r>
      <w:r>
        <w:rPr>
          <w:color w:val="000000"/>
          <w:lang w:eastAsia="en-GB"/>
        </w:rPr>
        <w:tab/>
      </w:r>
      <w:r w:rsidR="00844DEB" w:rsidRPr="00844DEB">
        <w:rPr>
          <w:color w:val="000000"/>
          <w:lang w:eastAsia="en-GB"/>
        </w:rPr>
        <w:t xml:space="preserve">The Prevention of Online Falsehoods and Manipulation Act </w:t>
      </w:r>
      <w:r w:rsidR="00844DEB">
        <w:rPr>
          <w:color w:val="000000"/>
          <w:lang w:eastAsia="en-GB"/>
        </w:rPr>
        <w:t xml:space="preserve">(POFMA) </w:t>
      </w:r>
      <w:r w:rsidR="00844DEB" w:rsidRPr="00844DEB">
        <w:rPr>
          <w:color w:val="000000"/>
          <w:lang w:eastAsia="en-GB"/>
        </w:rPr>
        <w:t>passed in 2019 is written so broadly, giving the minister pre-emptive discretion, it has a chilling effect on advocacy and public discussion</w:t>
      </w:r>
      <w:r w:rsidR="00844DEB">
        <w:rPr>
          <w:color w:val="000000"/>
          <w:lang w:eastAsia="en-GB"/>
        </w:rPr>
        <w:t>, thus reducing the space for civil society</w:t>
      </w:r>
      <w:r w:rsidR="00844DEB" w:rsidRPr="00FB3204">
        <w:rPr>
          <w:rStyle w:val="EndnoteReference"/>
          <w:color w:val="000000"/>
          <w:lang w:eastAsia="en-GB"/>
        </w:rPr>
        <w:endnoteReference w:id="40"/>
      </w:r>
      <w:r w:rsidR="00844DEB" w:rsidRPr="00FB3204">
        <w:rPr>
          <w:color w:val="000000"/>
          <w:vertAlign w:val="superscript"/>
          <w:lang w:eastAsia="en-GB"/>
        </w:rPr>
        <w:t xml:space="preserve">, </w:t>
      </w:r>
      <w:r w:rsidR="008278DF">
        <w:rPr>
          <w:color w:val="000000"/>
          <w:vertAlign w:val="superscript"/>
          <w:lang w:eastAsia="en-GB"/>
        </w:rPr>
        <w:t xml:space="preserve"> </w:t>
      </w:r>
      <w:r w:rsidR="00844DEB" w:rsidRPr="00FB3204">
        <w:rPr>
          <w:rStyle w:val="EndnoteReference"/>
          <w:color w:val="000000"/>
          <w:lang w:eastAsia="en-GB"/>
        </w:rPr>
        <w:endnoteReference w:id="41"/>
      </w:r>
      <w:r w:rsidR="00F73E5B" w:rsidRPr="00FB3204">
        <w:rPr>
          <w:color w:val="000000"/>
          <w:vertAlign w:val="superscript"/>
          <w:lang w:eastAsia="en-GB"/>
        </w:rPr>
        <w:t xml:space="preserve">, </w:t>
      </w:r>
      <w:r w:rsidR="00F73E5B" w:rsidRPr="00FB3204">
        <w:rPr>
          <w:rStyle w:val="EndnoteReference"/>
          <w:color w:val="000000"/>
          <w:lang w:eastAsia="en-GB"/>
        </w:rPr>
        <w:endnoteReference w:id="42"/>
      </w:r>
      <w:r w:rsidR="00FB3204">
        <w:rPr>
          <w:color w:val="000000"/>
          <w:lang w:eastAsia="en-GB"/>
        </w:rPr>
        <w:t>.</w:t>
      </w:r>
    </w:p>
    <w:p w14:paraId="308B1571" w14:textId="0BA30CE6" w:rsidR="00C741D6" w:rsidRDefault="00C741D6" w:rsidP="009505D2">
      <w:pPr>
        <w:spacing w:before="40" w:after="40" w:line="240" w:lineRule="auto"/>
        <w:rPr>
          <w:color w:val="000000"/>
          <w:lang w:eastAsia="en-GB"/>
        </w:rPr>
      </w:pPr>
    </w:p>
    <w:p w14:paraId="09328204" w14:textId="71B2783D" w:rsidR="00FE5C6F" w:rsidRDefault="00FE5C6F" w:rsidP="009505D2">
      <w:pPr>
        <w:spacing w:before="40" w:after="40" w:line="240" w:lineRule="auto"/>
        <w:rPr>
          <w:color w:val="000000"/>
          <w:lang w:eastAsia="en-GB"/>
        </w:rPr>
      </w:pPr>
    </w:p>
    <w:p w14:paraId="06167E32" w14:textId="77777777" w:rsidR="00D03B19" w:rsidRDefault="00D03B19" w:rsidP="009505D2">
      <w:pPr>
        <w:spacing w:before="40" w:after="40" w:line="240" w:lineRule="auto"/>
        <w:rPr>
          <w:sz w:val="28"/>
          <w:szCs w:val="28"/>
        </w:rPr>
      </w:pPr>
      <w:r>
        <w:rPr>
          <w:sz w:val="28"/>
          <w:szCs w:val="28"/>
        </w:rPr>
        <w:br w:type="page"/>
      </w:r>
    </w:p>
    <w:p w14:paraId="130D08FF" w14:textId="2A7282F3" w:rsidR="00C5028B" w:rsidRPr="00FE5C6F" w:rsidRDefault="008D4125" w:rsidP="009505D2">
      <w:pPr>
        <w:spacing w:before="40" w:after="40" w:line="240" w:lineRule="auto"/>
        <w:rPr>
          <w:sz w:val="28"/>
          <w:szCs w:val="28"/>
        </w:rPr>
      </w:pPr>
      <w:r w:rsidRPr="00FE5C6F">
        <w:rPr>
          <w:sz w:val="28"/>
          <w:szCs w:val="28"/>
        </w:rPr>
        <w:lastRenderedPageBreak/>
        <w:t>S</w:t>
      </w:r>
      <w:r w:rsidR="00D42640">
        <w:rPr>
          <w:sz w:val="28"/>
          <w:szCs w:val="28"/>
        </w:rPr>
        <w:t>ECTION 3: RECOMMENDATIONS</w:t>
      </w:r>
    </w:p>
    <w:p w14:paraId="6CC1C354" w14:textId="77777777" w:rsidR="003D7FAA" w:rsidRDefault="003D7FAA" w:rsidP="009505D2">
      <w:pPr>
        <w:spacing w:before="40" w:after="40" w:line="240" w:lineRule="auto"/>
      </w:pPr>
    </w:p>
    <w:p w14:paraId="736E2A12" w14:textId="606F4C86" w:rsidR="008D4125" w:rsidRDefault="008D4125" w:rsidP="003D7FAA">
      <w:pPr>
        <w:spacing w:before="40" w:after="40" w:line="240" w:lineRule="auto"/>
        <w:ind w:left="907" w:hanging="907"/>
      </w:pPr>
      <w:r>
        <w:t xml:space="preserve">RN-01 </w:t>
      </w:r>
      <w:r w:rsidR="0094528E">
        <w:tab/>
      </w:r>
      <w:r>
        <w:t>Include domestic work within the scope of the Employment Act.</w:t>
      </w:r>
    </w:p>
    <w:p w14:paraId="28D796CF" w14:textId="77777777" w:rsidR="003D7FAA" w:rsidRDefault="003D7FAA" w:rsidP="003D7FAA">
      <w:pPr>
        <w:spacing w:before="40" w:after="40" w:line="240" w:lineRule="auto"/>
        <w:ind w:left="907" w:hanging="907"/>
      </w:pPr>
    </w:p>
    <w:p w14:paraId="4B7656E7" w14:textId="6A01E9E6" w:rsidR="008D4125" w:rsidRDefault="008D4125" w:rsidP="003D7FAA">
      <w:pPr>
        <w:spacing w:before="40" w:after="40" w:line="240" w:lineRule="auto"/>
        <w:ind w:left="907" w:hanging="907"/>
      </w:pPr>
      <w:r>
        <w:t>RN-0</w:t>
      </w:r>
      <w:r w:rsidR="00BF28DB">
        <w:t>2</w:t>
      </w:r>
      <w:r>
        <w:t xml:space="preserve"> </w:t>
      </w:r>
      <w:r w:rsidR="0094528E">
        <w:tab/>
      </w:r>
      <w:r>
        <w:t>Enforce legislation on recruitment and associated fees</w:t>
      </w:r>
      <w:r w:rsidR="008E46D1">
        <w:t>; spur</w:t>
      </w:r>
      <w:r>
        <w:t xml:space="preserve"> changes to the recruitment eco-system to ensure greater transparency and access without migrant </w:t>
      </w:r>
      <w:proofErr w:type="gramStart"/>
      <w:r>
        <w:t>job-seekers</w:t>
      </w:r>
      <w:proofErr w:type="gramEnd"/>
      <w:r w:rsidR="008E46D1">
        <w:t xml:space="preserve"> having</w:t>
      </w:r>
      <w:r>
        <w:t xml:space="preserve"> to use unlicensed job brokers.</w:t>
      </w:r>
    </w:p>
    <w:p w14:paraId="7B34C0AA" w14:textId="77777777" w:rsidR="003D7FAA" w:rsidRDefault="003D7FAA" w:rsidP="003D7FAA">
      <w:pPr>
        <w:spacing w:before="40" w:after="40" w:line="240" w:lineRule="auto"/>
        <w:ind w:left="907" w:hanging="907"/>
      </w:pPr>
    </w:p>
    <w:p w14:paraId="0686B3DC" w14:textId="31D024AF" w:rsidR="00BF28DB" w:rsidRDefault="00BF28DB" w:rsidP="003D7FAA">
      <w:pPr>
        <w:spacing w:before="40" w:after="40" w:line="240" w:lineRule="auto"/>
        <w:ind w:left="907" w:hanging="907"/>
      </w:pPr>
      <w:r>
        <w:t xml:space="preserve">RN-03 </w:t>
      </w:r>
      <w:r w:rsidR="0094528E">
        <w:tab/>
      </w:r>
      <w:r>
        <w:t>Reform the system for issuance of In-Principle Approvals so that workers can see the applications being made in their name and signal agreement to the terms of employment, and to provide workers the same access to the system if salary terms are to be modified.</w:t>
      </w:r>
    </w:p>
    <w:p w14:paraId="191C08D8" w14:textId="77777777" w:rsidR="003D7FAA" w:rsidRDefault="003D7FAA" w:rsidP="003D7FAA">
      <w:pPr>
        <w:spacing w:before="40" w:after="40" w:line="240" w:lineRule="auto"/>
        <w:ind w:left="907" w:hanging="907"/>
      </w:pPr>
    </w:p>
    <w:p w14:paraId="2D5B9011" w14:textId="638C13F1" w:rsidR="00BF28DB" w:rsidRDefault="00BF28DB" w:rsidP="003D7FAA">
      <w:pPr>
        <w:spacing w:before="40" w:after="40" w:line="240" w:lineRule="auto"/>
        <w:ind w:left="907" w:hanging="907"/>
      </w:pPr>
      <w:r>
        <w:t xml:space="preserve">RN-04. </w:t>
      </w:r>
      <w:r w:rsidR="0094528E">
        <w:tab/>
      </w:r>
      <w:r>
        <w:t>Repeal and unwind regulations enacted during Covid-19 that restricts migrant workers’ freedom of movement; quarantine and isolation orders to be issued only to persons at real risk and in a non-discriminatory way, and not in a blanket way based on their immigration or accommodation status.</w:t>
      </w:r>
    </w:p>
    <w:p w14:paraId="0FE5FDB7" w14:textId="77777777" w:rsidR="003D7FAA" w:rsidRDefault="003D7FAA" w:rsidP="003D7FAA">
      <w:pPr>
        <w:spacing w:before="40" w:after="40" w:line="240" w:lineRule="auto"/>
        <w:ind w:left="907" w:hanging="907"/>
      </w:pPr>
    </w:p>
    <w:p w14:paraId="04E944E9" w14:textId="0542FDF2" w:rsidR="008D4125" w:rsidRDefault="008D4125" w:rsidP="003D7FAA">
      <w:pPr>
        <w:spacing w:before="40" w:after="40" w:line="240" w:lineRule="auto"/>
        <w:ind w:left="907" w:hanging="907"/>
      </w:pPr>
      <w:r>
        <w:t xml:space="preserve">RN-05. </w:t>
      </w:r>
      <w:r w:rsidR="0094528E">
        <w:tab/>
      </w:r>
      <w:r>
        <w:t>Review and refine employment claims processes to ensure that migrant workers do not face barriers in accessing justice.</w:t>
      </w:r>
    </w:p>
    <w:p w14:paraId="7614E3AF" w14:textId="77777777" w:rsidR="003D7FAA" w:rsidRDefault="003D7FAA" w:rsidP="003D7FAA">
      <w:pPr>
        <w:spacing w:before="40" w:after="40" w:line="240" w:lineRule="auto"/>
        <w:ind w:left="907" w:hanging="907"/>
      </w:pPr>
    </w:p>
    <w:p w14:paraId="786E52CE" w14:textId="16508443" w:rsidR="00BF28DB" w:rsidRDefault="00BF28DB" w:rsidP="003D7FAA">
      <w:pPr>
        <w:spacing w:before="40" w:after="40" w:line="240" w:lineRule="auto"/>
        <w:ind w:left="907" w:hanging="907"/>
      </w:pPr>
      <w:r>
        <w:t xml:space="preserve">RN-06. </w:t>
      </w:r>
      <w:r w:rsidR="0094528E">
        <w:tab/>
      </w:r>
      <w:r w:rsidR="008E46D1">
        <w:t>Enforce</w:t>
      </w:r>
      <w:r>
        <w:t xml:space="preserve"> court orders and court-endorsed settlement agreements to ensure that orders are not ignored with impunity.</w:t>
      </w:r>
    </w:p>
    <w:p w14:paraId="4898C2BA" w14:textId="77777777" w:rsidR="003D7FAA" w:rsidRDefault="003D7FAA" w:rsidP="003D7FAA">
      <w:pPr>
        <w:spacing w:before="40" w:after="40" w:line="240" w:lineRule="auto"/>
        <w:ind w:left="907" w:hanging="907"/>
      </w:pPr>
    </w:p>
    <w:p w14:paraId="3346BCFC" w14:textId="27734638" w:rsidR="00604262" w:rsidRDefault="00604262" w:rsidP="003D7FAA">
      <w:pPr>
        <w:spacing w:before="40" w:after="40" w:line="240" w:lineRule="auto"/>
        <w:ind w:left="907" w:hanging="907"/>
      </w:pPr>
      <w:r>
        <w:t>RN-0</w:t>
      </w:r>
      <w:r w:rsidR="00BF28DB">
        <w:t>7</w:t>
      </w:r>
      <w:r>
        <w:t xml:space="preserve">. </w:t>
      </w:r>
      <w:r w:rsidR="0094528E">
        <w:tab/>
      </w:r>
      <w:r>
        <w:t>Set up either a wage insurance scheme or a statutory fund for workers who are not paid by their employers because of serious financial difficulty or when such employers have become insolvent.</w:t>
      </w:r>
    </w:p>
    <w:p w14:paraId="0C59945C" w14:textId="77777777" w:rsidR="003D7FAA" w:rsidRDefault="003D7FAA" w:rsidP="003D7FAA">
      <w:pPr>
        <w:spacing w:before="40" w:after="40" w:line="240" w:lineRule="auto"/>
        <w:ind w:left="907" w:hanging="907"/>
      </w:pPr>
    </w:p>
    <w:p w14:paraId="35939CCB" w14:textId="639D41DF" w:rsidR="00BF28DB" w:rsidRDefault="00BF28DB" w:rsidP="003D7FAA">
      <w:pPr>
        <w:spacing w:before="40" w:after="40" w:line="240" w:lineRule="auto"/>
        <w:ind w:left="907" w:hanging="907"/>
      </w:pPr>
      <w:r>
        <w:t xml:space="preserve">RN-08. </w:t>
      </w:r>
      <w:r w:rsidR="0094528E">
        <w:tab/>
      </w:r>
      <w:r>
        <w:t xml:space="preserve">Allow migrant workers to switch employers. Allow those who have resigned or lost their jobs a generous </w:t>
      </w:r>
      <w:proofErr w:type="gramStart"/>
      <w:r>
        <w:t>period of time</w:t>
      </w:r>
      <w:proofErr w:type="gramEnd"/>
      <w:r>
        <w:t xml:space="preserve"> to find new employment without being repatriated. </w:t>
      </w:r>
    </w:p>
    <w:p w14:paraId="22F4E78C" w14:textId="77777777" w:rsidR="003D7FAA" w:rsidRDefault="003D7FAA" w:rsidP="003D7FAA">
      <w:pPr>
        <w:spacing w:before="40" w:after="40" w:line="240" w:lineRule="auto"/>
        <w:ind w:left="907" w:hanging="907"/>
      </w:pPr>
    </w:p>
    <w:p w14:paraId="1D2D9633" w14:textId="50CB2203" w:rsidR="00BF28DB" w:rsidRDefault="00BF28DB" w:rsidP="003D7FAA">
      <w:pPr>
        <w:spacing w:before="40" w:after="40" w:line="240" w:lineRule="auto"/>
        <w:ind w:left="907" w:hanging="907"/>
      </w:pPr>
      <w:r>
        <w:t xml:space="preserve">RN-09. </w:t>
      </w:r>
      <w:r w:rsidR="0094528E">
        <w:tab/>
      </w:r>
      <w:r w:rsidR="008E46D1">
        <w:t>Ensure</w:t>
      </w:r>
      <w:r>
        <w:t xml:space="preserve"> that migrant workers can access healthcare directly using employer-provided insurance without having to seek permission and consent of employers each time.</w:t>
      </w:r>
    </w:p>
    <w:p w14:paraId="0EDE4B05" w14:textId="518D59B4" w:rsidR="008D4125" w:rsidRDefault="008D4125" w:rsidP="003D7FAA">
      <w:pPr>
        <w:ind w:left="907" w:hanging="907"/>
      </w:pPr>
    </w:p>
    <w:p w14:paraId="13AA7487" w14:textId="77777777" w:rsidR="00F62F3C" w:rsidRDefault="00F62F3C" w:rsidP="0094528E">
      <w:pPr>
        <w:sectPr w:rsidR="00F62F3C" w:rsidSect="00F62F3C">
          <w:endnotePr>
            <w:numFmt w:val="decimal"/>
          </w:endnotePr>
          <w:pgSz w:w="11906" w:h="16838" w:code="9"/>
          <w:pgMar w:top="1418" w:right="1418" w:bottom="1418" w:left="1418" w:header="709" w:footer="709" w:gutter="0"/>
          <w:cols w:space="708"/>
          <w:docGrid w:linePitch="360"/>
        </w:sectPr>
      </w:pPr>
    </w:p>
    <w:p w14:paraId="3F5D981E" w14:textId="77777777" w:rsidR="00014205" w:rsidRDefault="00014205" w:rsidP="0094528E">
      <w:pPr>
        <w:rPr>
          <w:sz w:val="28"/>
          <w:szCs w:val="28"/>
        </w:rPr>
      </w:pPr>
      <w:r w:rsidRPr="00D71D32">
        <w:rPr>
          <w:sz w:val="34"/>
          <w:szCs w:val="34"/>
        </w:rPr>
        <w:lastRenderedPageBreak/>
        <w:t>ANNEX A:</w:t>
      </w:r>
      <w:r w:rsidRPr="00014205">
        <w:rPr>
          <w:sz w:val="28"/>
          <w:szCs w:val="28"/>
        </w:rPr>
        <w:t xml:space="preserve"> Assessment of implementation of recommendations from Second Cycle (2016), </w:t>
      </w:r>
      <w:proofErr w:type="gramStart"/>
      <w:r w:rsidRPr="00014205">
        <w:rPr>
          <w:sz w:val="28"/>
          <w:szCs w:val="28"/>
        </w:rPr>
        <w:t>with regard to</w:t>
      </w:r>
      <w:proofErr w:type="gramEnd"/>
      <w:r w:rsidRPr="00014205">
        <w:rPr>
          <w:sz w:val="28"/>
          <w:szCs w:val="28"/>
        </w:rPr>
        <w:t xml:space="preserve"> migrant labour</w:t>
      </w:r>
    </w:p>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87"/>
        <w:gridCol w:w="3260"/>
        <w:gridCol w:w="6153"/>
      </w:tblGrid>
      <w:tr w:rsidR="00362BF2" w:rsidRPr="00362BF2" w14:paraId="023A59D3" w14:textId="77777777" w:rsidTr="00C62D0D">
        <w:trPr>
          <w:tblHeader/>
        </w:trPr>
        <w:tc>
          <w:tcPr>
            <w:tcW w:w="4520" w:type="dxa"/>
            <w:tcBorders>
              <w:bottom w:val="dotted" w:sz="4" w:space="0" w:color="auto"/>
            </w:tcBorders>
            <w:shd w:val="clear" w:color="auto" w:fill="8EAADB" w:themeFill="accent1" w:themeFillTint="99"/>
          </w:tcPr>
          <w:p w14:paraId="5BD3CA93" w14:textId="77777777" w:rsidR="00362BF2" w:rsidRPr="00362BF2" w:rsidRDefault="00362BF2" w:rsidP="0094528E">
            <w:pPr>
              <w:spacing w:before="60" w:after="60" w:line="240" w:lineRule="auto"/>
              <w:rPr>
                <w:rFonts w:cstheme="minorHAnsi"/>
                <w:b/>
                <w:bCs/>
                <w:lang w:eastAsia="en-GB"/>
              </w:rPr>
            </w:pPr>
            <w:bookmarkStart w:id="5" w:name="_Hlk52798285"/>
            <w:r w:rsidRPr="00362BF2">
              <w:rPr>
                <w:rFonts w:cstheme="minorHAnsi"/>
                <w:b/>
                <w:bCs/>
                <w:lang w:eastAsia="en-GB"/>
              </w:rPr>
              <w:t>Recommendation from Second Cycle</w:t>
            </w:r>
          </w:p>
        </w:tc>
        <w:tc>
          <w:tcPr>
            <w:tcW w:w="1287" w:type="dxa"/>
            <w:tcBorders>
              <w:bottom w:val="dotted" w:sz="4" w:space="0" w:color="auto"/>
            </w:tcBorders>
            <w:shd w:val="clear" w:color="auto" w:fill="8EAADB" w:themeFill="accent1" w:themeFillTint="99"/>
          </w:tcPr>
          <w:p w14:paraId="670F4E54" w14:textId="77777777" w:rsidR="00362BF2" w:rsidRPr="00362BF2" w:rsidRDefault="00362BF2" w:rsidP="0094528E">
            <w:pPr>
              <w:spacing w:before="60" w:after="60" w:line="240" w:lineRule="auto"/>
              <w:rPr>
                <w:rFonts w:cstheme="minorHAnsi"/>
                <w:b/>
                <w:bCs/>
                <w:lang w:eastAsia="en-GB"/>
              </w:rPr>
            </w:pPr>
            <w:r w:rsidRPr="00362BF2">
              <w:rPr>
                <w:rFonts w:cstheme="minorHAnsi"/>
                <w:b/>
                <w:bCs/>
                <w:lang w:eastAsia="en-GB"/>
              </w:rPr>
              <w:t>Position</w:t>
            </w:r>
          </w:p>
        </w:tc>
        <w:tc>
          <w:tcPr>
            <w:tcW w:w="3260" w:type="dxa"/>
            <w:tcBorders>
              <w:bottom w:val="dotted" w:sz="4" w:space="0" w:color="auto"/>
            </w:tcBorders>
            <w:shd w:val="clear" w:color="auto" w:fill="8EAADB" w:themeFill="accent1" w:themeFillTint="99"/>
          </w:tcPr>
          <w:p w14:paraId="513CE00E" w14:textId="77777777" w:rsidR="00362BF2" w:rsidRPr="00362BF2" w:rsidRDefault="00362BF2" w:rsidP="0094528E">
            <w:pPr>
              <w:spacing w:before="60" w:after="60" w:line="240" w:lineRule="auto"/>
              <w:rPr>
                <w:rFonts w:cstheme="minorHAnsi"/>
                <w:b/>
                <w:bCs/>
                <w:lang w:eastAsia="en-GB"/>
              </w:rPr>
            </w:pPr>
            <w:r w:rsidRPr="00362BF2">
              <w:rPr>
                <w:rFonts w:cstheme="minorHAnsi"/>
                <w:b/>
                <w:bCs/>
                <w:lang w:eastAsia="en-GB"/>
              </w:rPr>
              <w:t>Full list of themes</w:t>
            </w:r>
          </w:p>
        </w:tc>
        <w:tc>
          <w:tcPr>
            <w:tcW w:w="6153" w:type="dxa"/>
            <w:tcBorders>
              <w:bottom w:val="dotted" w:sz="4" w:space="0" w:color="auto"/>
            </w:tcBorders>
            <w:shd w:val="clear" w:color="auto" w:fill="8EAADB" w:themeFill="accent1" w:themeFillTint="99"/>
          </w:tcPr>
          <w:p w14:paraId="276C5660" w14:textId="77777777" w:rsidR="00362BF2" w:rsidRPr="00362BF2" w:rsidRDefault="00362BF2" w:rsidP="0094528E">
            <w:pPr>
              <w:spacing w:before="60" w:after="60" w:line="240" w:lineRule="auto"/>
              <w:rPr>
                <w:rFonts w:cstheme="minorHAnsi"/>
                <w:b/>
                <w:bCs/>
                <w:lang w:eastAsia="en-GB"/>
              </w:rPr>
            </w:pPr>
            <w:r w:rsidRPr="00362BF2">
              <w:rPr>
                <w:rFonts w:cstheme="minorHAnsi"/>
                <w:b/>
                <w:bCs/>
                <w:lang w:eastAsia="en-GB"/>
              </w:rPr>
              <w:t>Assessment/comments on level of implementation</w:t>
            </w:r>
          </w:p>
        </w:tc>
      </w:tr>
      <w:tr w:rsidR="00362BF2" w:rsidRPr="00362BF2" w14:paraId="49216B8F" w14:textId="77777777" w:rsidTr="00C62D0D">
        <w:tc>
          <w:tcPr>
            <w:tcW w:w="15220" w:type="dxa"/>
            <w:gridSpan w:val="4"/>
            <w:shd w:val="clear" w:color="auto" w:fill="DBE5F1"/>
            <w:hideMark/>
          </w:tcPr>
          <w:p w14:paraId="1394A8EE" w14:textId="77777777" w:rsidR="00362BF2" w:rsidRPr="00362BF2" w:rsidRDefault="00362BF2" w:rsidP="0094528E">
            <w:pPr>
              <w:spacing w:before="60" w:after="60" w:line="240" w:lineRule="auto"/>
              <w:rPr>
                <w:b/>
                <w:i/>
                <w:sz w:val="28"/>
                <w:lang w:eastAsia="en-GB"/>
              </w:rPr>
            </w:pPr>
            <w:r w:rsidRPr="00362BF2">
              <w:rPr>
                <w:b/>
                <w:i/>
                <w:color w:val="000000"/>
                <w:sz w:val="28"/>
                <w:lang w:eastAsia="en-GB"/>
              </w:rPr>
              <w:t>Theme: A41 Constitutional and legislative framework</w:t>
            </w:r>
          </w:p>
        </w:tc>
      </w:tr>
      <w:tr w:rsidR="00362BF2" w:rsidRPr="00362BF2" w14:paraId="57116D6D" w14:textId="77777777" w:rsidTr="00C62D0D">
        <w:tc>
          <w:tcPr>
            <w:tcW w:w="4520" w:type="dxa"/>
            <w:tcBorders>
              <w:bottom w:val="dotted" w:sz="4" w:space="0" w:color="auto"/>
            </w:tcBorders>
            <w:shd w:val="clear" w:color="auto" w:fill="auto"/>
            <w:hideMark/>
          </w:tcPr>
          <w:p w14:paraId="2228272A" w14:textId="77777777" w:rsidR="00362BF2" w:rsidRPr="00362BF2" w:rsidRDefault="00362BF2" w:rsidP="0094528E">
            <w:pPr>
              <w:spacing w:before="60" w:after="60" w:line="240" w:lineRule="auto"/>
              <w:rPr>
                <w:rFonts w:cstheme="minorHAnsi"/>
                <w:color w:val="000000"/>
                <w:lang w:eastAsia="en-GB"/>
              </w:rPr>
            </w:pPr>
            <w:bookmarkStart w:id="6" w:name="_Hlk52797018"/>
            <w:r w:rsidRPr="00362BF2">
              <w:rPr>
                <w:rFonts w:cstheme="minorHAnsi"/>
                <w:color w:val="000000"/>
                <w:lang w:eastAsia="en-GB"/>
              </w:rPr>
              <w:t>166.94 Adopt a comprehensive legislation that guarantees the protection of the rights of migrant workers (Honduras);</w:t>
            </w:r>
          </w:p>
          <w:p w14:paraId="79734468"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tcBorders>
              <w:bottom w:val="dotted" w:sz="4" w:space="0" w:color="auto"/>
            </w:tcBorders>
            <w:shd w:val="clear" w:color="auto" w:fill="auto"/>
            <w:hideMark/>
          </w:tcPr>
          <w:p w14:paraId="561434ED"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tcBorders>
              <w:bottom w:val="dotted" w:sz="4" w:space="0" w:color="auto"/>
            </w:tcBorders>
            <w:shd w:val="clear" w:color="auto" w:fill="auto"/>
            <w:hideMark/>
          </w:tcPr>
          <w:p w14:paraId="603F5EB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A41 Constitutional and legislative framework</w:t>
            </w:r>
          </w:p>
          <w:p w14:paraId="7A213432"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66DC5853"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2E35533A"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tcBorders>
              <w:bottom w:val="dotted" w:sz="4" w:space="0" w:color="auto"/>
            </w:tcBorders>
            <w:shd w:val="clear" w:color="auto" w:fill="auto"/>
            <w:hideMark/>
          </w:tcPr>
          <w:p w14:paraId="4EC6A13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Singapore has not adopted comprehensive legislation per this recommendation. Whilst several pieces of legislation exist, there remain gaps. See the following sections in our main report for examples of those gaps:</w:t>
            </w:r>
          </w:p>
          <w:p w14:paraId="35230628"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bCs/>
                <w:color w:val="000000"/>
                <w:lang w:eastAsia="en-GB"/>
              </w:rPr>
              <w:t>SW-01</w:t>
            </w:r>
            <w:r w:rsidRPr="00362BF2">
              <w:rPr>
                <w:rFonts w:cstheme="minorHAnsi"/>
                <w:color w:val="000000"/>
                <w:lang w:eastAsia="en-GB"/>
              </w:rPr>
              <w:t xml:space="preserve"> Domestic workers excluded from the Employment Act; </w:t>
            </w:r>
          </w:p>
          <w:p w14:paraId="1BB00433" w14:textId="77777777" w:rsidR="00362BF2" w:rsidRPr="00362BF2" w:rsidRDefault="00362BF2" w:rsidP="0094528E">
            <w:pPr>
              <w:spacing w:before="60" w:after="60" w:line="240" w:lineRule="auto"/>
              <w:rPr>
                <w:color w:val="000000"/>
                <w:lang w:eastAsia="en-GB"/>
              </w:rPr>
            </w:pPr>
            <w:r w:rsidRPr="00362BF2">
              <w:rPr>
                <w:b/>
                <w:bCs/>
                <w:color w:val="000000"/>
                <w:lang w:eastAsia="en-GB"/>
              </w:rPr>
              <w:t>SW-03</w:t>
            </w:r>
            <w:r w:rsidRPr="00362BF2">
              <w:rPr>
                <w:color w:val="000000"/>
                <w:lang w:eastAsia="en-GB"/>
              </w:rPr>
              <w:t xml:space="preserve"> Contract substitution through abuses of the In-Principle Approval for Work Permit; </w:t>
            </w:r>
          </w:p>
          <w:p w14:paraId="4A9DDFEF" w14:textId="77777777" w:rsidR="00362BF2" w:rsidRPr="00362BF2" w:rsidRDefault="00362BF2" w:rsidP="0094528E">
            <w:pPr>
              <w:spacing w:before="60" w:after="60" w:line="240" w:lineRule="auto"/>
              <w:rPr>
                <w:rFonts w:cstheme="minorHAnsi"/>
                <w:color w:val="000000"/>
                <w:lang w:eastAsia="en-GB"/>
              </w:rPr>
            </w:pPr>
            <w:r w:rsidRPr="00362BF2">
              <w:rPr>
                <w:b/>
                <w:bCs/>
                <w:color w:val="000000"/>
                <w:lang w:eastAsia="en-GB"/>
              </w:rPr>
              <w:t>SW-05</w:t>
            </w:r>
            <w:r w:rsidRPr="00362BF2">
              <w:rPr>
                <w:color w:val="000000"/>
                <w:lang w:eastAsia="en-GB"/>
              </w:rPr>
              <w:t xml:space="preserve"> Freedom of movement and social rights decimated in the wake of Covid-19</w:t>
            </w:r>
            <w:r w:rsidRPr="00362BF2">
              <w:rPr>
                <w:rFonts w:cstheme="minorHAnsi"/>
                <w:color w:val="000000"/>
                <w:lang w:eastAsia="en-GB"/>
              </w:rPr>
              <w:t xml:space="preserve">; </w:t>
            </w:r>
          </w:p>
          <w:p w14:paraId="25A4B1A3"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bCs/>
                <w:color w:val="000000"/>
                <w:lang w:eastAsia="en-GB"/>
              </w:rPr>
              <w:t>SW-08</w:t>
            </w:r>
            <w:r w:rsidRPr="00362BF2">
              <w:rPr>
                <w:rFonts w:cstheme="minorHAnsi"/>
                <w:color w:val="000000"/>
                <w:lang w:eastAsia="en-GB"/>
              </w:rPr>
              <w:t xml:space="preserve"> No guarantee against repatriation for migrant workers with pending claims;</w:t>
            </w:r>
          </w:p>
          <w:p w14:paraId="3A3F7D93" w14:textId="77777777" w:rsidR="00362BF2" w:rsidRPr="00362BF2" w:rsidRDefault="00362BF2" w:rsidP="0094528E">
            <w:pPr>
              <w:spacing w:before="60" w:after="60" w:line="240" w:lineRule="auto"/>
              <w:rPr>
                <w:color w:val="000000"/>
                <w:lang w:eastAsia="en-GB"/>
              </w:rPr>
            </w:pPr>
            <w:r w:rsidRPr="00362BF2">
              <w:rPr>
                <w:b/>
                <w:bCs/>
                <w:color w:val="000000"/>
                <w:lang w:eastAsia="en-GB"/>
              </w:rPr>
              <w:t>SW-11</w:t>
            </w:r>
            <w:r w:rsidRPr="00362BF2">
              <w:rPr>
                <w:color w:val="000000"/>
                <w:lang w:eastAsia="en-GB"/>
              </w:rPr>
              <w:t xml:space="preserve"> Job mobility still highly restricted;</w:t>
            </w:r>
          </w:p>
          <w:p w14:paraId="30C1558F" w14:textId="77777777" w:rsidR="00362BF2" w:rsidRPr="00362BF2" w:rsidRDefault="00362BF2" w:rsidP="0094528E">
            <w:pPr>
              <w:spacing w:before="60" w:after="60" w:line="240" w:lineRule="auto"/>
              <w:rPr>
                <w:rFonts w:ascii="Calibri" w:eastAsia="DengXian" w:hAnsi="Calibri" w:cs="Calibri"/>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03FC0AAC" w14:textId="77777777" w:rsidR="00362BF2" w:rsidRPr="00362BF2" w:rsidRDefault="00362BF2" w:rsidP="0094528E">
            <w:pPr>
              <w:spacing w:before="60" w:after="60" w:line="240" w:lineRule="auto"/>
              <w:rPr>
                <w:color w:val="000000"/>
                <w:lang w:eastAsia="en-GB"/>
              </w:rPr>
            </w:pPr>
          </w:p>
          <w:p w14:paraId="7732130A" w14:textId="77777777" w:rsidR="00362BF2" w:rsidRPr="00362BF2" w:rsidRDefault="00362BF2" w:rsidP="0094528E">
            <w:pPr>
              <w:spacing w:before="60" w:after="60" w:line="240" w:lineRule="auto"/>
              <w:rPr>
                <w:rFonts w:cstheme="minorHAnsi"/>
                <w:color w:val="000000"/>
                <w:lang w:eastAsia="en-GB"/>
              </w:rPr>
            </w:pPr>
          </w:p>
        </w:tc>
      </w:tr>
      <w:bookmarkEnd w:id="6"/>
      <w:tr w:rsidR="00362BF2" w:rsidRPr="00362BF2" w14:paraId="5B4B8F25" w14:textId="77777777" w:rsidTr="00C62D0D">
        <w:tc>
          <w:tcPr>
            <w:tcW w:w="15220" w:type="dxa"/>
            <w:gridSpan w:val="4"/>
            <w:shd w:val="clear" w:color="auto" w:fill="DEEAF6" w:themeFill="accent5" w:themeFillTint="33"/>
            <w:hideMark/>
          </w:tcPr>
          <w:p w14:paraId="529FE61C" w14:textId="77777777" w:rsidR="00362BF2" w:rsidRPr="00362BF2" w:rsidRDefault="00362BF2" w:rsidP="0094528E">
            <w:pPr>
              <w:spacing w:before="60" w:after="60" w:line="240" w:lineRule="auto"/>
              <w:rPr>
                <w:b/>
                <w:i/>
                <w:sz w:val="28"/>
                <w:lang w:eastAsia="en-GB"/>
              </w:rPr>
            </w:pPr>
            <w:r w:rsidRPr="00362BF2">
              <w:rPr>
                <w:b/>
                <w:i/>
                <w:color w:val="000000"/>
                <w:sz w:val="28"/>
                <w:lang w:eastAsia="en-GB"/>
              </w:rPr>
              <w:t>Theme: A6 Context, statistics, budget, civil society</w:t>
            </w:r>
          </w:p>
        </w:tc>
      </w:tr>
      <w:tr w:rsidR="00362BF2" w:rsidRPr="00362BF2" w14:paraId="464BFCCE" w14:textId="77777777" w:rsidTr="00C62D0D">
        <w:tc>
          <w:tcPr>
            <w:tcW w:w="4520" w:type="dxa"/>
            <w:shd w:val="clear" w:color="auto" w:fill="auto"/>
            <w:hideMark/>
          </w:tcPr>
          <w:p w14:paraId="7CBF698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166.122 Continue its engagement with Governments and civil society organizations on initiatives that help promote and protect human rights (Philippines);</w:t>
            </w:r>
          </w:p>
          <w:p w14:paraId="563FB615"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hideMark/>
          </w:tcPr>
          <w:p w14:paraId="6539284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hideMark/>
          </w:tcPr>
          <w:p w14:paraId="5CCA43A4"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A6 Context, statistics, budget, civil society</w:t>
            </w:r>
          </w:p>
          <w:p w14:paraId="5691D859"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A3 Inter-State cooperation &amp; development assistance</w:t>
            </w:r>
          </w:p>
          <w:p w14:paraId="3425AC25"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2449CACE"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general</w:t>
            </w:r>
          </w:p>
        </w:tc>
        <w:tc>
          <w:tcPr>
            <w:tcW w:w="6153" w:type="dxa"/>
            <w:shd w:val="clear" w:color="auto" w:fill="auto"/>
            <w:hideMark/>
          </w:tcPr>
          <w:p w14:paraId="3DF5FFA0"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The Singapore government does not engage meaningfully with independent civil society organisations in the migrant labour sphere and the lack of engagement likely leaves human rights issues unaddressed. See the following sections in our main report for more detail: </w:t>
            </w:r>
          </w:p>
          <w:p w14:paraId="215C7F35"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bCs/>
                <w:color w:val="000000"/>
                <w:lang w:eastAsia="en-GB"/>
              </w:rPr>
              <w:t>SW-14</w:t>
            </w:r>
            <w:r w:rsidRPr="00362BF2">
              <w:rPr>
                <w:rFonts w:cstheme="minorHAnsi"/>
                <w:color w:val="000000"/>
                <w:lang w:eastAsia="en-GB"/>
              </w:rPr>
              <w:t xml:space="preserve"> Superficial engagement with civil society; </w:t>
            </w:r>
          </w:p>
          <w:p w14:paraId="7488E52C"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bCs/>
                <w:color w:val="000000"/>
                <w:lang w:eastAsia="en-GB"/>
              </w:rPr>
              <w:t>SW-15</w:t>
            </w:r>
            <w:r w:rsidRPr="00362BF2">
              <w:rPr>
                <w:rFonts w:cstheme="minorHAnsi"/>
                <w:color w:val="000000"/>
                <w:lang w:eastAsia="en-GB"/>
              </w:rPr>
              <w:t xml:space="preserve"> Over-broad fake news law chills speech and reduces room for civil society.</w:t>
            </w:r>
          </w:p>
          <w:p w14:paraId="42CCCFC8"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446CA546" w14:textId="77777777" w:rsidTr="00C62D0D">
        <w:tc>
          <w:tcPr>
            <w:tcW w:w="15220" w:type="dxa"/>
            <w:gridSpan w:val="4"/>
            <w:shd w:val="clear" w:color="auto" w:fill="DEEAF6" w:themeFill="accent5" w:themeFillTint="33"/>
          </w:tcPr>
          <w:p w14:paraId="6C2E39CF"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lastRenderedPageBreak/>
              <w:t>Theme: B51 Right to an effective remedy</w:t>
            </w:r>
          </w:p>
        </w:tc>
      </w:tr>
      <w:tr w:rsidR="00362BF2" w:rsidRPr="00362BF2" w14:paraId="1783DC16" w14:textId="77777777" w:rsidTr="00C62D0D">
        <w:tc>
          <w:tcPr>
            <w:tcW w:w="4520" w:type="dxa"/>
            <w:shd w:val="clear" w:color="auto" w:fill="auto"/>
          </w:tcPr>
          <w:p w14:paraId="170D37A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166.79 Enact a national migrant legislation to protect the rights of migrant workers and ensure that migrant workers who wish to pursue claim against employers are not forced to repatriate without access to justice (Afghanistan);</w:t>
            </w:r>
          </w:p>
          <w:p w14:paraId="711C2D72"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61086852"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1A97000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B51 Right to an effective remedy</w:t>
            </w:r>
          </w:p>
          <w:p w14:paraId="2DE82DFC"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3F38ED8B"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A41 Constitutional and legislative framework</w:t>
            </w:r>
          </w:p>
          <w:p w14:paraId="05FDD4E7"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75DD488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45336B9B"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Singapore has not implemented this recommendation. There was regression in 2020 when workers with pending claims were told they would be repatriated before their scheduled hearing dates at the Employment Claims Tribunal. See the following section in our main report for more detail: </w:t>
            </w:r>
          </w:p>
          <w:p w14:paraId="60B4052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SW-08</w:t>
            </w:r>
            <w:r w:rsidRPr="00362BF2">
              <w:rPr>
                <w:rFonts w:ascii="Calibri" w:eastAsia="DengXian" w:hAnsi="Calibri" w:cs="Arial"/>
                <w:color w:val="000000"/>
                <w:lang w:eastAsia="en-GB"/>
              </w:rPr>
              <w:t xml:space="preserve"> No guarantee against repatriation for migrant workers with pending claims.</w:t>
            </w:r>
          </w:p>
          <w:p w14:paraId="7535AB6F" w14:textId="77777777" w:rsidR="00362BF2" w:rsidRPr="00362BF2" w:rsidRDefault="00362BF2" w:rsidP="0094528E">
            <w:pPr>
              <w:spacing w:before="60" w:after="60" w:line="240" w:lineRule="auto"/>
              <w:rPr>
                <w:rFonts w:ascii="Calibri" w:eastAsia="DengXian" w:hAnsi="Calibri" w:cs="Arial"/>
                <w:color w:val="000000"/>
                <w:lang w:eastAsia="en-GB"/>
              </w:rPr>
            </w:pPr>
          </w:p>
          <w:p w14:paraId="26FEC979"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427D1A9F" w14:textId="77777777" w:rsidTr="00C62D0D">
        <w:tc>
          <w:tcPr>
            <w:tcW w:w="15220" w:type="dxa"/>
            <w:gridSpan w:val="4"/>
            <w:shd w:val="clear" w:color="auto" w:fill="DEEAF6" w:themeFill="accent5" w:themeFillTint="33"/>
          </w:tcPr>
          <w:p w14:paraId="389EE327"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t>Theme: B8 Human rights &amp; counter-terrorism</w:t>
            </w:r>
          </w:p>
        </w:tc>
      </w:tr>
      <w:tr w:rsidR="00362BF2" w:rsidRPr="00362BF2" w14:paraId="12EAF78A" w14:textId="77777777" w:rsidTr="00C62D0D">
        <w:tc>
          <w:tcPr>
            <w:tcW w:w="4520" w:type="dxa"/>
            <w:shd w:val="clear" w:color="auto" w:fill="auto"/>
          </w:tcPr>
          <w:p w14:paraId="54731C3A"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166.140 Continue to promote and protect migrants and their rights, in particular while countering terrorism (Bangladesh</w:t>
            </w:r>
            <w:proofErr w:type="gramStart"/>
            <w:r w:rsidRPr="00362BF2">
              <w:rPr>
                <w:rFonts w:cstheme="minorHAnsi"/>
                <w:color w:val="000000"/>
                <w:lang w:eastAsia="en-GB"/>
              </w:rPr>
              <w:t>);</w:t>
            </w:r>
            <w:proofErr w:type="gramEnd"/>
          </w:p>
          <w:p w14:paraId="5F0ECE6F"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561271B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1CA1107C"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B8 Human rights &amp; counter-terrorism</w:t>
            </w:r>
          </w:p>
          <w:p w14:paraId="6A0235D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71D78BC8"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751A775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1360E58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There has been no significant implementation of this recommendation. More detail can be found in sections </w:t>
            </w:r>
            <w:r w:rsidRPr="00362BF2">
              <w:rPr>
                <w:rFonts w:cstheme="minorHAnsi"/>
                <w:b/>
                <w:bCs/>
                <w:color w:val="000000"/>
                <w:lang w:eastAsia="en-GB"/>
              </w:rPr>
              <w:t>SW-01</w:t>
            </w:r>
            <w:r w:rsidRPr="00362BF2">
              <w:rPr>
                <w:rFonts w:cstheme="minorHAnsi"/>
                <w:color w:val="000000"/>
                <w:lang w:eastAsia="en-GB"/>
              </w:rPr>
              <w:t xml:space="preserve"> to </w:t>
            </w:r>
            <w:r w:rsidRPr="00362BF2">
              <w:rPr>
                <w:rFonts w:cstheme="minorHAnsi"/>
                <w:b/>
                <w:bCs/>
                <w:color w:val="000000"/>
                <w:lang w:eastAsia="en-GB"/>
              </w:rPr>
              <w:t>SW-13</w:t>
            </w:r>
            <w:r w:rsidRPr="00362BF2">
              <w:rPr>
                <w:rFonts w:cstheme="minorHAnsi"/>
                <w:color w:val="000000"/>
                <w:lang w:eastAsia="en-GB"/>
              </w:rPr>
              <w:t xml:space="preserve"> of our main report. We would add that in the areas of freedom of movement for migrant workers, and salary entitlements during Covid-19 lockdowns, there are clear signs of regression. See:</w:t>
            </w:r>
          </w:p>
          <w:p w14:paraId="07512F74"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SW-04</w:t>
            </w:r>
            <w:r w:rsidRPr="00362BF2">
              <w:rPr>
                <w:rFonts w:ascii="Calibri" w:eastAsia="DengXian" w:hAnsi="Calibri" w:cs="Arial"/>
                <w:color w:val="000000"/>
                <w:lang w:eastAsia="en-GB"/>
              </w:rPr>
              <w:t xml:space="preserve"> Salary entitlements during Covid-19 lockdown obfuscated by government advisories;</w:t>
            </w:r>
          </w:p>
          <w:p w14:paraId="50962159"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SW-05</w:t>
            </w:r>
            <w:r w:rsidRPr="00362BF2">
              <w:rPr>
                <w:rFonts w:ascii="Calibri" w:eastAsia="DengXian" w:hAnsi="Calibri" w:cs="Arial"/>
                <w:color w:val="000000"/>
                <w:lang w:eastAsia="en-GB"/>
              </w:rPr>
              <w:t xml:space="preserve"> Freedom of movement and social rights decimated in the wake of Covid-19.</w:t>
            </w:r>
          </w:p>
          <w:p w14:paraId="2A8A339E"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05116EE7" w14:textId="77777777" w:rsidTr="00C62D0D">
        <w:tc>
          <w:tcPr>
            <w:tcW w:w="15220" w:type="dxa"/>
            <w:gridSpan w:val="4"/>
            <w:shd w:val="clear" w:color="auto" w:fill="DEEAF6" w:themeFill="accent5" w:themeFillTint="33"/>
          </w:tcPr>
          <w:p w14:paraId="5B271304"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t>Theme: E31 Right to work</w:t>
            </w:r>
          </w:p>
        </w:tc>
      </w:tr>
      <w:tr w:rsidR="00362BF2" w:rsidRPr="00362BF2" w14:paraId="5324C0E7" w14:textId="77777777" w:rsidTr="00C62D0D">
        <w:tc>
          <w:tcPr>
            <w:tcW w:w="4520" w:type="dxa"/>
            <w:shd w:val="clear" w:color="auto" w:fill="auto"/>
          </w:tcPr>
          <w:p w14:paraId="08D83D5B"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166.132 Continue its ongoing efforts to promote and protect economic, social and cultural rights of migrant workers in Singapore, </w:t>
            </w:r>
            <w:r w:rsidRPr="00362BF2">
              <w:rPr>
                <w:rFonts w:cstheme="minorHAnsi"/>
                <w:color w:val="000000"/>
                <w:lang w:eastAsia="en-GB"/>
              </w:rPr>
              <w:lastRenderedPageBreak/>
              <w:t>including efforts to enhance reach out to migrant workers on their employment rights, responsibilities, and their avenues of recourse (Sri Lanka);</w:t>
            </w:r>
          </w:p>
          <w:p w14:paraId="6AB690B1"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78D9BED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Supported</w:t>
            </w:r>
          </w:p>
        </w:tc>
        <w:tc>
          <w:tcPr>
            <w:tcW w:w="3260" w:type="dxa"/>
            <w:shd w:val="clear" w:color="auto" w:fill="auto"/>
          </w:tcPr>
          <w:p w14:paraId="547A8D67"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E31 Right to work</w:t>
            </w:r>
          </w:p>
          <w:p w14:paraId="7C8F7FDB"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2828F3CA"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lastRenderedPageBreak/>
              <w:t>Affected persons:</w:t>
            </w:r>
          </w:p>
          <w:p w14:paraId="461D5058"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6DA01024" w14:textId="69A2425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 xml:space="preserve">There was a major regression in 2020 during the Covid-19 pandemic. Lockdowns of migrant worker dormitories were disproportionately long in duration and new regulations </w:t>
            </w:r>
            <w:r>
              <w:rPr>
                <w:rFonts w:cstheme="minorHAnsi"/>
                <w:color w:val="000000"/>
                <w:lang w:eastAsia="en-GB"/>
              </w:rPr>
              <w:t xml:space="preserve">were </w:t>
            </w:r>
            <w:r w:rsidRPr="00362BF2">
              <w:rPr>
                <w:rFonts w:cstheme="minorHAnsi"/>
                <w:color w:val="000000"/>
                <w:lang w:eastAsia="en-GB"/>
              </w:rPr>
              <w:lastRenderedPageBreak/>
              <w:t xml:space="preserve">enacted </w:t>
            </w:r>
            <w:r>
              <w:rPr>
                <w:rFonts w:cstheme="minorHAnsi"/>
                <w:color w:val="000000"/>
                <w:lang w:eastAsia="en-GB"/>
              </w:rPr>
              <w:t>restricting</w:t>
            </w:r>
            <w:r w:rsidRPr="00362BF2">
              <w:rPr>
                <w:rFonts w:cstheme="minorHAnsi"/>
                <w:color w:val="000000"/>
                <w:lang w:eastAsia="en-GB"/>
              </w:rPr>
              <w:t xml:space="preserve"> workers’ freedom to leave their accommodation for leisure and social activities. There remain gaps too on migrant workers’ recourse to healthcare, and to salary claims. For more detail, see this section in our main report:</w:t>
            </w:r>
          </w:p>
          <w:p w14:paraId="30981C8E"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SW-05</w:t>
            </w:r>
            <w:r w:rsidRPr="00362BF2">
              <w:rPr>
                <w:rFonts w:ascii="Calibri" w:eastAsia="DengXian" w:hAnsi="Calibri" w:cs="Arial"/>
                <w:color w:val="000000"/>
                <w:lang w:eastAsia="en-GB"/>
              </w:rPr>
              <w:t xml:space="preserve"> Freedom of movement and social rights decimated in the wake of Covid-19.</w:t>
            </w:r>
          </w:p>
          <w:p w14:paraId="568C4794"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SW-06</w:t>
            </w:r>
            <w:r w:rsidRPr="00362BF2">
              <w:rPr>
                <w:rFonts w:ascii="Calibri" w:eastAsia="DengXian" w:hAnsi="Calibri" w:cs="Arial"/>
                <w:color w:val="000000"/>
                <w:lang w:eastAsia="en-GB"/>
              </w:rPr>
              <w:t xml:space="preserve"> Salary mediators overstepping their authority and limiting claimants’ rights;</w:t>
            </w:r>
          </w:p>
          <w:p w14:paraId="5EA2EA5B"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SW-07</w:t>
            </w:r>
            <w:r w:rsidRPr="00362BF2">
              <w:rPr>
                <w:rFonts w:ascii="Calibri" w:eastAsia="DengXian" w:hAnsi="Calibri" w:cs="Arial"/>
                <w:color w:val="000000"/>
                <w:lang w:eastAsia="en-GB"/>
              </w:rPr>
              <w:t xml:space="preserve"> Processes at Employment Claims Tribunal present multiple barriers to migrant workers;</w:t>
            </w:r>
          </w:p>
          <w:p w14:paraId="2B058CFC" w14:textId="77777777" w:rsidR="00362BF2" w:rsidRPr="00362BF2" w:rsidRDefault="00362BF2" w:rsidP="0094528E">
            <w:pPr>
              <w:spacing w:before="60" w:after="60" w:line="240" w:lineRule="auto"/>
              <w:rPr>
                <w:rFonts w:cstheme="minorHAnsi"/>
                <w:color w:val="000000"/>
                <w:lang w:eastAsia="en-GB"/>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0EFE76EB"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474389CB" w14:textId="77777777" w:rsidTr="00C62D0D">
        <w:tc>
          <w:tcPr>
            <w:tcW w:w="4520" w:type="dxa"/>
            <w:shd w:val="clear" w:color="auto" w:fill="auto"/>
          </w:tcPr>
          <w:p w14:paraId="44094C36"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166.136 Continue safeguarding the well-being and rights of migrant workers in Singapore and reach out to migrant workers to ensure that they understand their employment rights and responsibilities (Cuba);</w:t>
            </w:r>
          </w:p>
          <w:p w14:paraId="33BD9BD8"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0C107A59"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6F3269BE"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E31 Right to work</w:t>
            </w:r>
          </w:p>
          <w:p w14:paraId="7C0F8DD0"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7BC06510"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1EF2046F"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45A0E646" w14:textId="77127E13"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This recommendation has not been implemented. Major gaps continue to exist in legislation and in operational policy. Examples of such gaps are discussed in many sections</w:t>
            </w:r>
            <w:r>
              <w:rPr>
                <w:rFonts w:cstheme="minorHAnsi"/>
                <w:color w:val="000000"/>
                <w:lang w:eastAsia="en-GB"/>
              </w:rPr>
              <w:t xml:space="preserve"> of our main report</w:t>
            </w:r>
            <w:r w:rsidRPr="00362BF2">
              <w:rPr>
                <w:rFonts w:cstheme="minorHAnsi"/>
                <w:color w:val="000000"/>
                <w:lang w:eastAsia="en-GB"/>
              </w:rPr>
              <w:t>:</w:t>
            </w:r>
          </w:p>
          <w:p w14:paraId="48AEDE00" w14:textId="77777777" w:rsidR="00362BF2" w:rsidRPr="00362BF2" w:rsidRDefault="00362BF2" w:rsidP="0094528E">
            <w:pPr>
              <w:spacing w:before="60" w:after="60" w:line="240" w:lineRule="auto"/>
              <w:rPr>
                <w:rFonts w:ascii="Calibri" w:eastAsia="DengXian" w:hAnsi="Calibri" w:cs="Arial"/>
              </w:rPr>
            </w:pPr>
            <w:r w:rsidRPr="00362BF2">
              <w:rPr>
                <w:rFonts w:ascii="Calibri" w:eastAsia="DengXian" w:hAnsi="Calibri" w:cs="Arial"/>
                <w:b/>
                <w:bCs/>
                <w:color w:val="000000"/>
                <w:lang w:eastAsia="en-GB"/>
              </w:rPr>
              <w:t>SW-01</w:t>
            </w:r>
            <w:r w:rsidRPr="00362BF2">
              <w:rPr>
                <w:rFonts w:ascii="Calibri" w:eastAsia="DengXian" w:hAnsi="Calibri" w:cs="Arial"/>
                <w:color w:val="000000"/>
                <w:lang w:eastAsia="en-GB"/>
              </w:rPr>
              <w:t xml:space="preserve"> Domestic workers excluded from the Employment Act;</w:t>
            </w:r>
          </w:p>
          <w:p w14:paraId="7787864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SW-02</w:t>
            </w:r>
            <w:r w:rsidRPr="00362BF2">
              <w:rPr>
                <w:rFonts w:ascii="Calibri" w:eastAsia="DengXian" w:hAnsi="Calibri" w:cs="Arial"/>
                <w:color w:val="000000"/>
                <w:lang w:eastAsia="en-GB"/>
              </w:rPr>
              <w:t xml:space="preserve"> No effective action against high recruitment costs;</w:t>
            </w:r>
          </w:p>
          <w:p w14:paraId="253761A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SW-03</w:t>
            </w:r>
            <w:r w:rsidRPr="00362BF2">
              <w:rPr>
                <w:rFonts w:ascii="Calibri" w:eastAsia="DengXian" w:hAnsi="Calibri" w:cs="Arial"/>
                <w:color w:val="000000"/>
                <w:lang w:eastAsia="en-GB"/>
              </w:rPr>
              <w:t xml:space="preserve"> Contract substitution through abuses of the In-Principle Approval for Work Permit;</w:t>
            </w:r>
          </w:p>
          <w:p w14:paraId="58AA3A47"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SW-04</w:t>
            </w:r>
            <w:r w:rsidRPr="00362BF2">
              <w:rPr>
                <w:rFonts w:ascii="Calibri" w:eastAsia="DengXian" w:hAnsi="Calibri" w:cs="Arial"/>
                <w:color w:val="000000"/>
                <w:lang w:eastAsia="en-GB"/>
              </w:rPr>
              <w:t xml:space="preserve"> Salary entitlements during Covid-19 lockdown obfuscated by government advisories;</w:t>
            </w:r>
          </w:p>
          <w:p w14:paraId="158AA43D"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SW-05</w:t>
            </w:r>
            <w:r w:rsidRPr="00362BF2">
              <w:rPr>
                <w:rFonts w:ascii="Calibri" w:eastAsia="DengXian" w:hAnsi="Calibri" w:cs="Arial"/>
                <w:color w:val="000000"/>
                <w:lang w:eastAsia="en-GB"/>
              </w:rPr>
              <w:t xml:space="preserve"> Freedom of movement and social rights decimated in the wake of Covid-19;</w:t>
            </w:r>
          </w:p>
          <w:p w14:paraId="02CB87F6"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SW-06</w:t>
            </w:r>
            <w:r w:rsidRPr="00362BF2">
              <w:rPr>
                <w:rFonts w:ascii="Calibri" w:eastAsia="DengXian" w:hAnsi="Calibri" w:cs="Arial"/>
                <w:color w:val="000000"/>
                <w:lang w:eastAsia="en-GB"/>
              </w:rPr>
              <w:t xml:space="preserve"> Salary mediators overstepping their authority and limiting claimants’ rights;</w:t>
            </w:r>
          </w:p>
          <w:p w14:paraId="552BAD00"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SW-07</w:t>
            </w:r>
            <w:r w:rsidRPr="00362BF2">
              <w:rPr>
                <w:rFonts w:ascii="Calibri" w:eastAsia="DengXian" w:hAnsi="Calibri" w:cs="Arial"/>
                <w:color w:val="000000"/>
                <w:lang w:eastAsia="en-GB"/>
              </w:rPr>
              <w:t xml:space="preserve"> Processes at Employment Claims Tribunal present multiple barriers to migrant workers;</w:t>
            </w:r>
          </w:p>
          <w:p w14:paraId="0798C18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lastRenderedPageBreak/>
              <w:t>SW-08</w:t>
            </w:r>
            <w:r w:rsidRPr="00362BF2">
              <w:rPr>
                <w:rFonts w:ascii="Calibri" w:eastAsia="DengXian" w:hAnsi="Calibri" w:cs="Arial"/>
                <w:color w:val="000000"/>
                <w:lang w:eastAsia="en-GB"/>
              </w:rPr>
              <w:t xml:space="preserve"> No guarantee against repatriation for migrant workers with pending claims;</w:t>
            </w:r>
          </w:p>
          <w:p w14:paraId="0A453170"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SW-09</w:t>
            </w:r>
            <w:r w:rsidRPr="00362BF2">
              <w:rPr>
                <w:rFonts w:ascii="Calibri" w:eastAsia="DengXian" w:hAnsi="Calibri" w:cs="Arial"/>
                <w:color w:val="000000"/>
                <w:lang w:eastAsia="en-GB"/>
              </w:rPr>
              <w:t xml:space="preserve"> Poor enforcement of court orders and settlement agreements;</w:t>
            </w:r>
          </w:p>
          <w:p w14:paraId="1B863D8D" w14:textId="6FE72850"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 xml:space="preserve">SW-10 </w:t>
            </w:r>
            <w:r w:rsidRPr="00362BF2">
              <w:rPr>
                <w:rFonts w:ascii="Calibri" w:eastAsia="DengXian" w:hAnsi="Calibri" w:cs="Arial"/>
                <w:color w:val="000000"/>
                <w:lang w:eastAsia="en-GB"/>
              </w:rPr>
              <w:t>No wage protection when employer is insolvent or has absconded;</w:t>
            </w:r>
          </w:p>
          <w:p w14:paraId="07F415FB"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SW-11</w:t>
            </w:r>
            <w:r w:rsidRPr="00362BF2">
              <w:rPr>
                <w:rFonts w:ascii="Calibri" w:eastAsia="DengXian" w:hAnsi="Calibri" w:cs="Arial"/>
                <w:color w:val="000000"/>
                <w:lang w:eastAsia="en-GB"/>
              </w:rPr>
              <w:t xml:space="preserve"> Job mobility still highly restricted;</w:t>
            </w:r>
          </w:p>
          <w:p w14:paraId="39FBE3CC" w14:textId="77777777" w:rsidR="00362BF2" w:rsidRPr="00362BF2" w:rsidRDefault="00362BF2" w:rsidP="0094528E">
            <w:pPr>
              <w:spacing w:before="60" w:after="60" w:line="240" w:lineRule="auto"/>
              <w:rPr>
                <w:rFonts w:cstheme="minorHAnsi"/>
                <w:color w:val="000000"/>
                <w:lang w:eastAsia="en-GB"/>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0F5EE9FF"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6CA3F567" w14:textId="77777777" w:rsidTr="00C62D0D">
        <w:tc>
          <w:tcPr>
            <w:tcW w:w="15220" w:type="dxa"/>
            <w:gridSpan w:val="4"/>
            <w:shd w:val="clear" w:color="auto" w:fill="DEEAF6" w:themeFill="accent5" w:themeFillTint="33"/>
          </w:tcPr>
          <w:p w14:paraId="050A0665"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lastRenderedPageBreak/>
              <w:t>Theme: G4 Migrants</w:t>
            </w:r>
          </w:p>
        </w:tc>
      </w:tr>
      <w:tr w:rsidR="00362BF2" w:rsidRPr="00362BF2" w14:paraId="72B0D8A2" w14:textId="77777777" w:rsidTr="00C62D0D">
        <w:tc>
          <w:tcPr>
            <w:tcW w:w="4520" w:type="dxa"/>
            <w:shd w:val="clear" w:color="auto" w:fill="auto"/>
          </w:tcPr>
          <w:p w14:paraId="690A70C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166.135 Protect the legitimate rights of foreign workers in Singapore and help them get the necessary vocational training (China);</w:t>
            </w:r>
          </w:p>
          <w:p w14:paraId="50951540"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025D105F"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4749B100"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71183872"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493A706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61F67349"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Singapore does not offer incentives or financial support to foreign workers to further their vocational training. The recommendation to protect the legitimate rights has not be implemented. For more detail, see the following sections in our main report:</w:t>
            </w:r>
          </w:p>
          <w:p w14:paraId="46B191E2" w14:textId="77777777" w:rsidR="00362BF2" w:rsidRPr="00362BF2" w:rsidRDefault="00362BF2" w:rsidP="0094528E">
            <w:pPr>
              <w:spacing w:before="60" w:after="60" w:line="240" w:lineRule="auto"/>
              <w:rPr>
                <w:rFonts w:ascii="Calibri" w:eastAsia="DengXian" w:hAnsi="Calibri" w:cs="Arial"/>
              </w:rPr>
            </w:pPr>
            <w:r w:rsidRPr="00362BF2">
              <w:rPr>
                <w:rFonts w:ascii="Calibri" w:eastAsia="DengXian" w:hAnsi="Calibri" w:cs="Arial"/>
                <w:b/>
                <w:bCs/>
                <w:color w:val="000000"/>
                <w:lang w:eastAsia="en-GB"/>
              </w:rPr>
              <w:t>SW-01</w:t>
            </w:r>
            <w:r w:rsidRPr="00362BF2">
              <w:rPr>
                <w:rFonts w:ascii="Calibri" w:eastAsia="DengXian" w:hAnsi="Calibri" w:cs="Arial"/>
                <w:color w:val="000000"/>
                <w:lang w:eastAsia="en-GB"/>
              </w:rPr>
              <w:t xml:space="preserve"> Domestic workers excluded from the Employment Act;</w:t>
            </w:r>
          </w:p>
          <w:p w14:paraId="2536673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SW-02</w:t>
            </w:r>
            <w:r w:rsidRPr="00362BF2">
              <w:rPr>
                <w:rFonts w:ascii="Calibri" w:eastAsia="DengXian" w:hAnsi="Calibri" w:cs="Arial"/>
                <w:color w:val="000000"/>
                <w:lang w:eastAsia="en-GB"/>
              </w:rPr>
              <w:t xml:space="preserve"> No effective action against high recruitment costs;</w:t>
            </w:r>
          </w:p>
          <w:p w14:paraId="33217F5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SW-03</w:t>
            </w:r>
            <w:r w:rsidRPr="00362BF2">
              <w:rPr>
                <w:rFonts w:ascii="Calibri" w:eastAsia="DengXian" w:hAnsi="Calibri" w:cs="Arial"/>
                <w:color w:val="000000"/>
                <w:lang w:eastAsia="en-GB"/>
              </w:rPr>
              <w:t xml:space="preserve"> Contract substitution through abuses of the In-Principle Approval for Work Permit;</w:t>
            </w:r>
          </w:p>
          <w:p w14:paraId="271F23D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SW-04</w:t>
            </w:r>
            <w:r w:rsidRPr="00362BF2">
              <w:rPr>
                <w:rFonts w:ascii="Calibri" w:eastAsia="DengXian" w:hAnsi="Calibri" w:cs="Arial"/>
                <w:color w:val="000000"/>
                <w:lang w:eastAsia="en-GB"/>
              </w:rPr>
              <w:t xml:space="preserve"> Salary entitlements during Covid-19 lockdown obfuscated by government advisories;</w:t>
            </w:r>
          </w:p>
          <w:p w14:paraId="70ADE263"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SW-05</w:t>
            </w:r>
            <w:r w:rsidRPr="00362BF2">
              <w:rPr>
                <w:rFonts w:ascii="Calibri" w:eastAsia="DengXian" w:hAnsi="Calibri" w:cs="Arial"/>
                <w:color w:val="000000"/>
                <w:lang w:eastAsia="en-GB"/>
              </w:rPr>
              <w:t xml:space="preserve"> Freedom of movement and social rights decimated in the wake of Covid-19;</w:t>
            </w:r>
          </w:p>
          <w:p w14:paraId="59D2EB85"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SW-06</w:t>
            </w:r>
            <w:r w:rsidRPr="00362BF2">
              <w:rPr>
                <w:rFonts w:ascii="Calibri" w:eastAsia="DengXian" w:hAnsi="Calibri" w:cs="Arial"/>
                <w:color w:val="000000"/>
                <w:lang w:eastAsia="en-GB"/>
              </w:rPr>
              <w:t xml:space="preserve"> Salary mediators overstepping their authority and limiting claimants’ rights;</w:t>
            </w:r>
          </w:p>
          <w:p w14:paraId="0BA23B64"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SW-07</w:t>
            </w:r>
            <w:r w:rsidRPr="00362BF2">
              <w:rPr>
                <w:rFonts w:ascii="Calibri" w:eastAsia="DengXian" w:hAnsi="Calibri" w:cs="Arial"/>
                <w:color w:val="000000"/>
                <w:lang w:eastAsia="en-GB"/>
              </w:rPr>
              <w:t xml:space="preserve"> Processes at Employment Claims Tribunal present multiple barriers to migrant workers;</w:t>
            </w:r>
          </w:p>
          <w:p w14:paraId="69CD184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lastRenderedPageBreak/>
              <w:t>SW-08</w:t>
            </w:r>
            <w:r w:rsidRPr="00362BF2">
              <w:rPr>
                <w:rFonts w:ascii="Calibri" w:eastAsia="DengXian" w:hAnsi="Calibri" w:cs="Arial"/>
                <w:color w:val="000000"/>
                <w:lang w:eastAsia="en-GB"/>
              </w:rPr>
              <w:t xml:space="preserve"> No guarantee against repatriation for migrant workers with pending claims;</w:t>
            </w:r>
          </w:p>
          <w:p w14:paraId="7C2981C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SW-09</w:t>
            </w:r>
            <w:r w:rsidRPr="00362BF2">
              <w:rPr>
                <w:rFonts w:ascii="Calibri" w:eastAsia="DengXian" w:hAnsi="Calibri" w:cs="Arial"/>
                <w:color w:val="000000"/>
                <w:lang w:eastAsia="en-GB"/>
              </w:rPr>
              <w:t xml:space="preserve"> Poor enforcement of court orders and settlement agreements;</w:t>
            </w:r>
          </w:p>
          <w:p w14:paraId="5F63D620"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SW-11</w:t>
            </w:r>
            <w:r w:rsidRPr="00362BF2">
              <w:rPr>
                <w:rFonts w:ascii="Calibri" w:eastAsia="DengXian" w:hAnsi="Calibri" w:cs="Arial"/>
                <w:color w:val="000000"/>
                <w:lang w:eastAsia="en-GB"/>
              </w:rPr>
              <w:t xml:space="preserve"> Job mobility still highly restricted;</w:t>
            </w:r>
          </w:p>
          <w:p w14:paraId="141A8423" w14:textId="77777777" w:rsidR="00362BF2" w:rsidRPr="00362BF2" w:rsidRDefault="00362BF2" w:rsidP="0094528E">
            <w:pPr>
              <w:spacing w:before="60" w:after="60" w:line="240" w:lineRule="auto"/>
              <w:rPr>
                <w:rFonts w:cstheme="minorHAnsi"/>
                <w:color w:val="000000"/>
                <w:lang w:eastAsia="en-GB"/>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584BE584"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7E4B7970" w14:textId="77777777" w:rsidTr="00C62D0D">
        <w:tc>
          <w:tcPr>
            <w:tcW w:w="4520" w:type="dxa"/>
            <w:shd w:val="clear" w:color="auto" w:fill="auto"/>
          </w:tcPr>
          <w:p w14:paraId="0573BD56"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166.130 Deepen the legal initiatives and their enforcement aimed at ensuring a legal and de facto situation that guarantees the human rights of migrants (Peru);</w:t>
            </w:r>
          </w:p>
          <w:p w14:paraId="443330BB"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7AE1616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3361B236"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45FE91B7"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A41 Constitutional and legislative framework</w:t>
            </w:r>
          </w:p>
          <w:p w14:paraId="5228F9FD"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090B36F4"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general</w:t>
            </w:r>
          </w:p>
          <w:p w14:paraId="0E47F287"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792FEE3F"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This recommendation has not been implemented. </w:t>
            </w:r>
            <w:proofErr w:type="gramStart"/>
            <w:r w:rsidRPr="00362BF2">
              <w:rPr>
                <w:rFonts w:cstheme="minorHAnsi"/>
                <w:color w:val="000000"/>
                <w:lang w:eastAsia="en-GB"/>
              </w:rPr>
              <w:t>In particular, enforcement</w:t>
            </w:r>
            <w:proofErr w:type="gramEnd"/>
            <w:r w:rsidRPr="00362BF2">
              <w:rPr>
                <w:rFonts w:cstheme="minorHAnsi"/>
                <w:color w:val="000000"/>
                <w:lang w:eastAsia="en-GB"/>
              </w:rPr>
              <w:t xml:space="preserve"> remains substantially lacking with respect to recruitment costs, contract substitution, and enforcement of court orders. See the following sections in our main report:</w:t>
            </w:r>
          </w:p>
          <w:p w14:paraId="3ED3D27C"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SW-02</w:t>
            </w:r>
            <w:r w:rsidRPr="00362BF2">
              <w:rPr>
                <w:rFonts w:ascii="Calibri" w:eastAsia="DengXian" w:hAnsi="Calibri" w:cs="Arial"/>
                <w:color w:val="000000"/>
                <w:lang w:eastAsia="en-GB"/>
              </w:rPr>
              <w:t xml:space="preserve"> No effective action against high recruitment costs;</w:t>
            </w:r>
          </w:p>
          <w:p w14:paraId="5F3EB297"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SW-03</w:t>
            </w:r>
            <w:r w:rsidRPr="00362BF2">
              <w:rPr>
                <w:rFonts w:ascii="Calibri" w:eastAsia="DengXian" w:hAnsi="Calibri" w:cs="Arial"/>
                <w:color w:val="000000"/>
                <w:lang w:eastAsia="en-GB"/>
              </w:rPr>
              <w:t xml:space="preserve"> Contract substitution through abuses of the In-Principle Approval for Work Permit;</w:t>
            </w:r>
          </w:p>
          <w:p w14:paraId="0356390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SW-09</w:t>
            </w:r>
            <w:r w:rsidRPr="00362BF2">
              <w:rPr>
                <w:rFonts w:ascii="Calibri" w:eastAsia="DengXian" w:hAnsi="Calibri" w:cs="Arial"/>
                <w:color w:val="000000"/>
                <w:lang w:eastAsia="en-GB"/>
              </w:rPr>
              <w:t xml:space="preserve"> Poor enforcement of court orders and settlement agreements;</w:t>
            </w:r>
          </w:p>
          <w:p w14:paraId="1DD58F4A" w14:textId="1B7B9A9D"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 xml:space="preserve">SW-10 </w:t>
            </w:r>
            <w:r w:rsidRPr="00362BF2">
              <w:rPr>
                <w:rFonts w:ascii="Calibri" w:eastAsia="DengXian" w:hAnsi="Calibri" w:cs="Arial"/>
                <w:color w:val="000000"/>
                <w:lang w:eastAsia="en-GB"/>
              </w:rPr>
              <w:t>No wage protection when employer is insolvent or has absconded;</w:t>
            </w:r>
          </w:p>
          <w:p w14:paraId="24E6DF01"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SW-11</w:t>
            </w:r>
            <w:r w:rsidRPr="00362BF2">
              <w:rPr>
                <w:rFonts w:ascii="Calibri" w:eastAsia="DengXian" w:hAnsi="Calibri" w:cs="Arial"/>
                <w:color w:val="000000"/>
                <w:lang w:eastAsia="en-GB"/>
              </w:rPr>
              <w:t xml:space="preserve"> Job mobility still highly restricted;</w:t>
            </w:r>
          </w:p>
          <w:p w14:paraId="4805EA07" w14:textId="77777777" w:rsidR="00362BF2" w:rsidRPr="00362BF2" w:rsidRDefault="00362BF2" w:rsidP="0094528E">
            <w:pPr>
              <w:spacing w:before="60" w:after="60" w:line="240" w:lineRule="auto"/>
              <w:rPr>
                <w:rFonts w:ascii="Calibri" w:eastAsia="DengXian" w:hAnsi="Calibri" w:cs="Calibri"/>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25EFDF05"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3F1E7A9E" w14:textId="77777777" w:rsidTr="00C62D0D">
        <w:tc>
          <w:tcPr>
            <w:tcW w:w="4520" w:type="dxa"/>
            <w:shd w:val="clear" w:color="auto" w:fill="auto"/>
          </w:tcPr>
          <w:p w14:paraId="307EA77D"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166.137 Strengthen measures to protect the human rights of non-citizens and migrant workers to prevent their exploitation and discrimination (Mexico);</w:t>
            </w:r>
          </w:p>
          <w:p w14:paraId="05EC2C2C"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50674B9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25CB646E"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06D8868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B31 Equality &amp; non-discrimination</w:t>
            </w:r>
          </w:p>
          <w:p w14:paraId="3BAD0C0F"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G8 Non-citizens</w:t>
            </w:r>
          </w:p>
          <w:p w14:paraId="78B46553"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3BA0251A"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 migrants</w:t>
            </w:r>
          </w:p>
          <w:p w14:paraId="09BC2B58"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non-citizens</w:t>
            </w:r>
          </w:p>
        </w:tc>
        <w:tc>
          <w:tcPr>
            <w:tcW w:w="6153" w:type="dxa"/>
            <w:shd w:val="clear" w:color="auto" w:fill="auto"/>
          </w:tcPr>
          <w:p w14:paraId="12D77ABB" w14:textId="68885A8B"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 xml:space="preserve">There has been no significant strengthening of measures since the last cycle. Exploitation continues, particularly the common practice of high recruitment fees through unregulated job brokers, kickbacks to employers, salary debasement through contract substitution or intimidation. </w:t>
            </w:r>
            <w:r w:rsidR="00C53BFB">
              <w:rPr>
                <w:rFonts w:cstheme="minorHAnsi"/>
                <w:color w:val="000000"/>
                <w:lang w:eastAsia="en-GB"/>
              </w:rPr>
              <w:t>Migrant workers</w:t>
            </w:r>
            <w:r w:rsidRPr="00362BF2">
              <w:rPr>
                <w:rFonts w:cstheme="minorHAnsi"/>
                <w:color w:val="000000"/>
                <w:lang w:eastAsia="en-GB"/>
              </w:rPr>
              <w:t xml:space="preserve"> have also been severely discriminated against through severe movement </w:t>
            </w:r>
            <w:r w:rsidRPr="00362BF2">
              <w:rPr>
                <w:rFonts w:cstheme="minorHAnsi"/>
                <w:color w:val="000000"/>
                <w:lang w:eastAsia="en-GB"/>
              </w:rPr>
              <w:lastRenderedPageBreak/>
              <w:t>restrictions that prevent them from leaving dormitories. See the following sections in our main report for more detail:</w:t>
            </w:r>
          </w:p>
          <w:p w14:paraId="6F8C0E67"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SW-02</w:t>
            </w:r>
            <w:r w:rsidRPr="00362BF2">
              <w:rPr>
                <w:rFonts w:ascii="Calibri" w:eastAsia="DengXian" w:hAnsi="Calibri" w:cs="Arial"/>
                <w:color w:val="000000"/>
                <w:lang w:eastAsia="en-GB"/>
              </w:rPr>
              <w:t xml:space="preserve"> No effective action against high recruitment costs;</w:t>
            </w:r>
          </w:p>
          <w:p w14:paraId="6B1187A4"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SW-03</w:t>
            </w:r>
            <w:r w:rsidRPr="00362BF2">
              <w:rPr>
                <w:rFonts w:ascii="Calibri" w:eastAsia="DengXian" w:hAnsi="Calibri" w:cs="Arial"/>
                <w:color w:val="000000"/>
                <w:lang w:eastAsia="en-GB"/>
              </w:rPr>
              <w:t xml:space="preserve"> Contract substitution through abuses of the In-Principle Approval for Work Permit;</w:t>
            </w:r>
          </w:p>
          <w:p w14:paraId="1A8D9318"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SW-05</w:t>
            </w:r>
            <w:r w:rsidRPr="00362BF2">
              <w:rPr>
                <w:rFonts w:ascii="Calibri" w:eastAsia="DengXian" w:hAnsi="Calibri" w:cs="Arial"/>
                <w:color w:val="000000"/>
                <w:lang w:eastAsia="en-GB"/>
              </w:rPr>
              <w:t xml:space="preserve"> Freedom of movement and social rights decimated in the wake of Covid-19;</w:t>
            </w:r>
          </w:p>
          <w:p w14:paraId="4450C494" w14:textId="77777777" w:rsidR="00362BF2" w:rsidRPr="00362BF2" w:rsidRDefault="00362BF2" w:rsidP="0094528E">
            <w:pPr>
              <w:spacing w:before="60" w:after="60" w:line="240" w:lineRule="auto"/>
              <w:rPr>
                <w:rFonts w:ascii="Calibri" w:eastAsia="DengXian" w:hAnsi="Calibri" w:cs="Arial"/>
                <w:color w:val="000000"/>
                <w:lang w:eastAsia="en-GB"/>
              </w:rPr>
            </w:pPr>
            <w:r w:rsidRPr="00362BF2">
              <w:rPr>
                <w:rFonts w:ascii="Calibri" w:eastAsia="DengXian" w:hAnsi="Calibri" w:cs="Arial"/>
                <w:b/>
                <w:bCs/>
                <w:color w:val="000000"/>
                <w:lang w:eastAsia="en-GB"/>
              </w:rPr>
              <w:t>SW-07</w:t>
            </w:r>
            <w:r w:rsidRPr="00362BF2">
              <w:rPr>
                <w:rFonts w:ascii="Calibri" w:eastAsia="DengXian" w:hAnsi="Calibri" w:cs="Arial"/>
                <w:color w:val="000000"/>
                <w:lang w:eastAsia="en-GB"/>
              </w:rPr>
              <w:t xml:space="preserve"> Processes at Employment Claims Tribunal present multiple barriers to migrant workers;</w:t>
            </w:r>
          </w:p>
          <w:p w14:paraId="699238D5" w14:textId="77777777" w:rsidR="00362BF2" w:rsidRPr="00362BF2" w:rsidRDefault="00362BF2" w:rsidP="0094528E">
            <w:pPr>
              <w:spacing w:before="60" w:after="60" w:line="240" w:lineRule="auto"/>
              <w:rPr>
                <w:rFonts w:cstheme="minorHAnsi"/>
                <w:color w:val="000000"/>
                <w:lang w:eastAsia="en-GB"/>
              </w:rPr>
            </w:pPr>
            <w:r w:rsidRPr="00362BF2">
              <w:rPr>
                <w:rFonts w:ascii="Calibri" w:eastAsia="DengXian" w:hAnsi="Calibri" w:cs="Arial"/>
                <w:b/>
                <w:bCs/>
                <w:color w:val="000000"/>
                <w:lang w:eastAsia="en-GB"/>
              </w:rPr>
              <w:t>SW-11</w:t>
            </w:r>
            <w:r w:rsidRPr="00362BF2">
              <w:rPr>
                <w:rFonts w:ascii="Calibri" w:eastAsia="DengXian" w:hAnsi="Calibri" w:cs="Arial"/>
                <w:color w:val="000000"/>
                <w:lang w:eastAsia="en-GB"/>
              </w:rPr>
              <w:t xml:space="preserve"> Job mobility still highly restricted;</w:t>
            </w:r>
          </w:p>
          <w:p w14:paraId="299B1FC4"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029AC5D7" w14:textId="77777777" w:rsidTr="00C62D0D">
        <w:tc>
          <w:tcPr>
            <w:tcW w:w="4520" w:type="dxa"/>
            <w:shd w:val="clear" w:color="auto" w:fill="auto"/>
          </w:tcPr>
          <w:p w14:paraId="0F52E62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166.133 Take the necessary steps to prohibit employers from withholding their foreign workers’ passports, travel documents, and work permits as well as to improve access to comprehensive and affordable health services (Thailand);</w:t>
            </w:r>
          </w:p>
          <w:p w14:paraId="7A533496"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65154BF6"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Supported</w:t>
            </w:r>
          </w:p>
        </w:tc>
        <w:tc>
          <w:tcPr>
            <w:tcW w:w="3260" w:type="dxa"/>
            <w:shd w:val="clear" w:color="auto" w:fill="auto"/>
          </w:tcPr>
          <w:p w14:paraId="7D1004BD"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6A92C7D6"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E41 Right to health - General</w:t>
            </w:r>
          </w:p>
          <w:p w14:paraId="1C093C47"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295A39F9"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056ED88E" w14:textId="6CC0BF0B" w:rsidR="00362BF2" w:rsidRPr="00362BF2" w:rsidRDefault="00362BF2" w:rsidP="0094528E">
            <w:pPr>
              <w:spacing w:before="60" w:after="60" w:line="240" w:lineRule="auto"/>
              <w:rPr>
                <w:rFonts w:ascii="Calibri" w:eastAsia="DengXian" w:hAnsi="Calibri" w:cs="Arial"/>
                <w:color w:val="000000"/>
                <w:lang w:eastAsia="en-GB"/>
              </w:rPr>
            </w:pPr>
            <w:r w:rsidRPr="00362BF2">
              <w:rPr>
                <w:rFonts w:cstheme="minorHAnsi"/>
                <w:color w:val="000000"/>
                <w:lang w:eastAsia="en-GB"/>
              </w:rPr>
              <w:t>There has been no implementation of his recommendation. Employers of migrant workers continue almost universally to retain workers’ passports. Migrant workers do not have affordable access to healthcare and often depend on their employers for this</w:t>
            </w:r>
            <w:r w:rsidR="00C53BFB">
              <w:rPr>
                <w:rFonts w:cstheme="minorHAnsi"/>
                <w:color w:val="000000"/>
                <w:lang w:eastAsia="en-GB"/>
              </w:rPr>
              <w:t xml:space="preserve"> right</w:t>
            </w:r>
            <w:r w:rsidRPr="00362BF2">
              <w:rPr>
                <w:rFonts w:cstheme="minorHAnsi"/>
                <w:color w:val="000000"/>
                <w:lang w:eastAsia="en-GB"/>
              </w:rPr>
              <w:t>. For more detail, see the following sections in our main report:</w:t>
            </w:r>
            <w:r w:rsidRPr="00362BF2">
              <w:rPr>
                <w:rFonts w:cstheme="minorHAnsi"/>
                <w:color w:val="000000"/>
                <w:lang w:eastAsia="en-GB"/>
              </w:rPr>
              <w:br/>
            </w:r>
            <w:r w:rsidRPr="00362BF2">
              <w:rPr>
                <w:rFonts w:ascii="Calibri" w:eastAsia="DengXian" w:hAnsi="Calibri" w:cs="Arial"/>
                <w:b/>
                <w:bCs/>
                <w:color w:val="000000"/>
                <w:lang w:eastAsia="en-GB"/>
              </w:rPr>
              <w:t xml:space="preserve">SW-12 </w:t>
            </w:r>
            <w:r w:rsidRPr="00362BF2">
              <w:rPr>
                <w:rFonts w:ascii="Calibri" w:eastAsia="DengXian" w:hAnsi="Calibri" w:cs="Arial"/>
                <w:color w:val="000000"/>
                <w:lang w:eastAsia="en-GB"/>
              </w:rPr>
              <w:t>Passports and travel documents routinely retained by employers;</w:t>
            </w:r>
          </w:p>
          <w:p w14:paraId="087683ED" w14:textId="77777777" w:rsidR="00362BF2" w:rsidRPr="00362BF2" w:rsidRDefault="00362BF2" w:rsidP="0094528E">
            <w:pPr>
              <w:spacing w:before="60" w:after="60" w:line="240" w:lineRule="auto"/>
              <w:rPr>
                <w:rFonts w:ascii="Calibri" w:eastAsia="DengXian" w:hAnsi="Calibri" w:cs="Calibri"/>
              </w:rPr>
            </w:pPr>
            <w:r w:rsidRPr="00362BF2">
              <w:rPr>
                <w:rFonts w:ascii="Calibri" w:eastAsia="DengXian" w:hAnsi="Calibri" w:cs="Calibri"/>
                <w:b/>
                <w:bCs/>
              </w:rPr>
              <w:t xml:space="preserve">SW-13 </w:t>
            </w:r>
            <w:r w:rsidRPr="00362BF2">
              <w:rPr>
                <w:rFonts w:ascii="Calibri" w:eastAsia="DengXian" w:hAnsi="Calibri" w:cs="Calibri"/>
              </w:rPr>
              <w:t>Access to healthcare highly dependent on employers;</w:t>
            </w:r>
          </w:p>
          <w:p w14:paraId="45AFC163"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6EB0F8C9" w14:textId="77777777" w:rsidTr="00C62D0D">
        <w:tc>
          <w:tcPr>
            <w:tcW w:w="15220" w:type="dxa"/>
            <w:gridSpan w:val="4"/>
            <w:shd w:val="clear" w:color="auto" w:fill="DEEAF6" w:themeFill="accent5" w:themeFillTint="33"/>
          </w:tcPr>
          <w:p w14:paraId="06A4788A"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t>Theme: E31 Right to work</w:t>
            </w:r>
          </w:p>
        </w:tc>
      </w:tr>
      <w:tr w:rsidR="00362BF2" w:rsidRPr="00362BF2" w14:paraId="4B1F53C8" w14:textId="77777777" w:rsidTr="00C62D0D">
        <w:tc>
          <w:tcPr>
            <w:tcW w:w="4520" w:type="dxa"/>
            <w:shd w:val="clear" w:color="auto" w:fill="auto"/>
          </w:tcPr>
          <w:p w14:paraId="16451FC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166.134 Improve the situation of work migrants by enabling them to easily switch employers and to have access to decent housing. The provisions of the Employment Act should also apply to foreign domestic workers (Germany);</w:t>
            </w:r>
          </w:p>
          <w:p w14:paraId="74E043FE"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lastRenderedPageBreak/>
              <w:t>Source of position:</w:t>
            </w:r>
            <w:r w:rsidRPr="00362BF2">
              <w:rPr>
                <w:rFonts w:cstheme="minorHAnsi"/>
                <w:color w:val="000000"/>
                <w:lang w:eastAsia="en-GB"/>
              </w:rPr>
              <w:t xml:space="preserve"> A/HRC/32/17/Add.1</w:t>
            </w:r>
          </w:p>
        </w:tc>
        <w:tc>
          <w:tcPr>
            <w:tcW w:w="1287" w:type="dxa"/>
            <w:shd w:val="clear" w:color="auto" w:fill="auto"/>
          </w:tcPr>
          <w:p w14:paraId="5A9D6467"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Noted</w:t>
            </w:r>
          </w:p>
        </w:tc>
        <w:tc>
          <w:tcPr>
            <w:tcW w:w="3260" w:type="dxa"/>
            <w:shd w:val="clear" w:color="auto" w:fill="auto"/>
          </w:tcPr>
          <w:p w14:paraId="6321AA7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E31 Right to work</w:t>
            </w:r>
          </w:p>
          <w:p w14:paraId="1D94A7E4"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6AF98C7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E23 Right to adequate housing</w:t>
            </w:r>
          </w:p>
          <w:p w14:paraId="028E0195"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1CDF5087"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 general</w:t>
            </w:r>
          </w:p>
          <w:p w14:paraId="3E2102A4"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136F35E2" w14:textId="128BAF9F"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lastRenderedPageBreak/>
              <w:t>It is important that Singapore be urged to accept this recommendation. Tying migrant workers to employers makes the former vulnerable to exploitation</w:t>
            </w:r>
            <w:r w:rsidR="00C53BFB">
              <w:rPr>
                <w:rFonts w:cstheme="minorHAnsi"/>
                <w:color w:val="000000"/>
                <w:lang w:eastAsia="en-GB"/>
              </w:rPr>
              <w:t xml:space="preserve"> (see </w:t>
            </w:r>
            <w:r w:rsidR="00C53BFB" w:rsidRPr="00C53BFB">
              <w:rPr>
                <w:rFonts w:cstheme="minorHAnsi"/>
                <w:b/>
                <w:bCs/>
                <w:color w:val="000000"/>
                <w:lang w:eastAsia="en-GB"/>
              </w:rPr>
              <w:t>SW-11</w:t>
            </w:r>
            <w:r w:rsidR="00C53BFB">
              <w:rPr>
                <w:rFonts w:cstheme="minorHAnsi"/>
                <w:color w:val="000000"/>
                <w:lang w:eastAsia="en-GB"/>
              </w:rPr>
              <w:t xml:space="preserve"> of our main report). </w:t>
            </w:r>
            <w:r w:rsidRPr="00362BF2">
              <w:rPr>
                <w:rFonts w:cstheme="minorHAnsi"/>
                <w:color w:val="000000"/>
                <w:lang w:eastAsia="en-GB"/>
              </w:rPr>
              <w:t xml:space="preserve"> Lack of decent housing has been shown to be a key factor in the spread of Covid-19, when workers </w:t>
            </w:r>
            <w:proofErr w:type="gramStart"/>
            <w:r w:rsidRPr="00362BF2">
              <w:rPr>
                <w:rFonts w:cstheme="minorHAnsi"/>
                <w:color w:val="000000"/>
                <w:lang w:eastAsia="en-GB"/>
              </w:rPr>
              <w:t>have to</w:t>
            </w:r>
            <w:proofErr w:type="gramEnd"/>
            <w:r w:rsidRPr="00362BF2">
              <w:rPr>
                <w:rFonts w:cstheme="minorHAnsi"/>
                <w:color w:val="000000"/>
                <w:lang w:eastAsia="en-GB"/>
              </w:rPr>
              <w:t xml:space="preserve"> live in dense, poorly </w:t>
            </w:r>
            <w:r w:rsidRPr="00362BF2">
              <w:rPr>
                <w:rFonts w:cstheme="minorHAnsi"/>
                <w:color w:val="000000"/>
                <w:lang w:eastAsia="en-GB"/>
              </w:rPr>
              <w:lastRenderedPageBreak/>
              <w:t xml:space="preserve">ventilated dormitories with washing facilities shared by hundreds of others. Domestic workers should be included within the Employment Act (see </w:t>
            </w:r>
            <w:r w:rsidRPr="00362BF2">
              <w:rPr>
                <w:rFonts w:cstheme="minorHAnsi"/>
                <w:b/>
                <w:bCs/>
                <w:color w:val="000000"/>
                <w:lang w:eastAsia="en-GB"/>
              </w:rPr>
              <w:t>SW-01</w:t>
            </w:r>
            <w:r w:rsidRPr="00362BF2">
              <w:rPr>
                <w:rFonts w:cstheme="minorHAnsi"/>
                <w:color w:val="000000"/>
                <w:lang w:eastAsia="en-GB"/>
              </w:rPr>
              <w:t xml:space="preserve"> of our main report).</w:t>
            </w:r>
          </w:p>
          <w:p w14:paraId="2C72CC96" w14:textId="77777777" w:rsidR="00362BF2" w:rsidRPr="00362BF2" w:rsidRDefault="00362BF2" w:rsidP="0094528E">
            <w:pPr>
              <w:spacing w:before="60" w:after="60" w:line="240" w:lineRule="auto"/>
              <w:rPr>
                <w:rFonts w:cstheme="minorHAnsi"/>
                <w:color w:val="000000"/>
                <w:lang w:eastAsia="en-GB"/>
              </w:rPr>
            </w:pPr>
          </w:p>
        </w:tc>
      </w:tr>
      <w:tr w:rsidR="00362BF2" w:rsidRPr="00362BF2" w14:paraId="6111E845" w14:textId="77777777" w:rsidTr="00C62D0D">
        <w:tc>
          <w:tcPr>
            <w:tcW w:w="15220" w:type="dxa"/>
            <w:gridSpan w:val="4"/>
            <w:shd w:val="clear" w:color="auto" w:fill="DEEAF6" w:themeFill="accent5" w:themeFillTint="33"/>
          </w:tcPr>
          <w:p w14:paraId="0BDE0FD4" w14:textId="77777777" w:rsidR="00362BF2" w:rsidRPr="00362BF2" w:rsidRDefault="00362BF2" w:rsidP="0094528E">
            <w:pPr>
              <w:spacing w:before="60" w:after="60" w:line="240" w:lineRule="auto"/>
              <w:rPr>
                <w:rFonts w:cstheme="minorHAnsi"/>
                <w:color w:val="000000"/>
                <w:lang w:eastAsia="en-GB"/>
              </w:rPr>
            </w:pPr>
            <w:r w:rsidRPr="00362BF2">
              <w:rPr>
                <w:b/>
                <w:i/>
                <w:color w:val="000000"/>
                <w:sz w:val="28"/>
                <w:lang w:eastAsia="en-GB"/>
              </w:rPr>
              <w:lastRenderedPageBreak/>
              <w:t>Theme: E32 Right to just and favourable conditions of work</w:t>
            </w:r>
          </w:p>
        </w:tc>
      </w:tr>
      <w:tr w:rsidR="00362BF2" w:rsidRPr="00362BF2" w14:paraId="79CA4867" w14:textId="77777777" w:rsidTr="00C62D0D">
        <w:tc>
          <w:tcPr>
            <w:tcW w:w="4520" w:type="dxa"/>
            <w:shd w:val="clear" w:color="auto" w:fill="auto"/>
          </w:tcPr>
          <w:p w14:paraId="07087803"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166.213 Include domestic work among the fields covered by the Employment Act, which would significantly improve the situation of many migrant workers (Austria);</w:t>
            </w:r>
          </w:p>
          <w:p w14:paraId="6AF0AF81" w14:textId="77777777" w:rsidR="00362BF2" w:rsidRPr="00362BF2" w:rsidRDefault="00362BF2" w:rsidP="0094528E">
            <w:pPr>
              <w:spacing w:before="60" w:after="60" w:line="240" w:lineRule="auto"/>
              <w:rPr>
                <w:b/>
                <w:i/>
                <w:color w:val="000000"/>
                <w:sz w:val="28"/>
                <w:lang w:eastAsia="en-GB"/>
              </w:rPr>
            </w:pPr>
            <w:r w:rsidRPr="00362BF2">
              <w:rPr>
                <w:rFonts w:cstheme="minorHAnsi"/>
                <w:b/>
                <w:color w:val="000000"/>
                <w:lang w:eastAsia="en-GB"/>
              </w:rPr>
              <w:t>Source of position:</w:t>
            </w:r>
            <w:r w:rsidRPr="00362BF2">
              <w:rPr>
                <w:rFonts w:cstheme="minorHAnsi"/>
                <w:color w:val="000000"/>
                <w:lang w:eastAsia="en-GB"/>
              </w:rPr>
              <w:t xml:space="preserve"> A/HRC/32/17/Add.1</w:t>
            </w:r>
          </w:p>
        </w:tc>
        <w:tc>
          <w:tcPr>
            <w:tcW w:w="1287" w:type="dxa"/>
            <w:shd w:val="clear" w:color="auto" w:fill="auto"/>
          </w:tcPr>
          <w:p w14:paraId="2E89CC58"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Noted</w:t>
            </w:r>
          </w:p>
        </w:tc>
        <w:tc>
          <w:tcPr>
            <w:tcW w:w="3260" w:type="dxa"/>
            <w:shd w:val="clear" w:color="auto" w:fill="auto"/>
          </w:tcPr>
          <w:p w14:paraId="777115C5"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E32 Right to just and favourable conditions of work</w:t>
            </w:r>
          </w:p>
          <w:p w14:paraId="485D238C"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G4 Migrants</w:t>
            </w:r>
          </w:p>
          <w:p w14:paraId="38298ACD" w14:textId="77777777" w:rsidR="00362BF2" w:rsidRPr="00362BF2" w:rsidRDefault="00362BF2" w:rsidP="0094528E">
            <w:pPr>
              <w:spacing w:before="60" w:after="60" w:line="240" w:lineRule="auto"/>
              <w:rPr>
                <w:rFonts w:cstheme="minorHAnsi"/>
                <w:color w:val="000000"/>
                <w:lang w:eastAsia="en-GB"/>
              </w:rPr>
            </w:pPr>
            <w:r w:rsidRPr="00362BF2">
              <w:rPr>
                <w:rFonts w:cstheme="minorHAnsi"/>
                <w:b/>
                <w:color w:val="000000"/>
                <w:lang w:eastAsia="en-GB"/>
              </w:rPr>
              <w:t>Affected persons:</w:t>
            </w:r>
          </w:p>
          <w:p w14:paraId="2CBEA541"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migrants</w:t>
            </w:r>
          </w:p>
        </w:tc>
        <w:tc>
          <w:tcPr>
            <w:tcW w:w="6153" w:type="dxa"/>
            <w:shd w:val="clear" w:color="auto" w:fill="auto"/>
          </w:tcPr>
          <w:p w14:paraId="28D66CBB" w14:textId="77777777" w:rsidR="00362BF2" w:rsidRPr="00362BF2" w:rsidRDefault="00362BF2" w:rsidP="0094528E">
            <w:pPr>
              <w:spacing w:before="60" w:after="60" w:line="240" w:lineRule="auto"/>
              <w:rPr>
                <w:rFonts w:cstheme="minorHAnsi"/>
                <w:color w:val="000000"/>
                <w:lang w:eastAsia="en-GB"/>
              </w:rPr>
            </w:pPr>
            <w:r w:rsidRPr="00362BF2">
              <w:rPr>
                <w:rFonts w:cstheme="minorHAnsi"/>
                <w:color w:val="000000"/>
                <w:lang w:eastAsia="en-GB"/>
              </w:rPr>
              <w:t xml:space="preserve">It is important that Singapore be urged to accept this recommendation. See </w:t>
            </w:r>
            <w:r w:rsidRPr="00362BF2">
              <w:rPr>
                <w:rFonts w:cstheme="minorHAnsi"/>
                <w:b/>
                <w:bCs/>
                <w:color w:val="000000"/>
                <w:lang w:eastAsia="en-GB"/>
              </w:rPr>
              <w:t>SW-01</w:t>
            </w:r>
            <w:r w:rsidRPr="00362BF2">
              <w:rPr>
                <w:rFonts w:cstheme="minorHAnsi"/>
                <w:color w:val="000000"/>
                <w:lang w:eastAsia="en-GB"/>
              </w:rPr>
              <w:t xml:space="preserve"> of our main report.</w:t>
            </w:r>
          </w:p>
          <w:p w14:paraId="45160BAA" w14:textId="77777777" w:rsidR="00362BF2" w:rsidRPr="00362BF2" w:rsidRDefault="00362BF2" w:rsidP="0094528E">
            <w:pPr>
              <w:spacing w:before="60" w:after="60" w:line="240" w:lineRule="auto"/>
              <w:rPr>
                <w:rFonts w:cstheme="minorHAnsi"/>
                <w:color w:val="000000"/>
                <w:lang w:eastAsia="en-GB"/>
              </w:rPr>
            </w:pPr>
          </w:p>
        </w:tc>
      </w:tr>
      <w:bookmarkEnd w:id="5"/>
    </w:tbl>
    <w:p w14:paraId="08C05952" w14:textId="77777777" w:rsidR="00362BF2" w:rsidRDefault="00362BF2" w:rsidP="0094528E">
      <w:pPr>
        <w:rPr>
          <w:sz w:val="28"/>
          <w:szCs w:val="28"/>
        </w:rPr>
      </w:pPr>
    </w:p>
    <w:p w14:paraId="077252D6" w14:textId="77777777" w:rsidR="00362BF2" w:rsidRDefault="00362BF2" w:rsidP="0094528E"/>
    <w:p w14:paraId="302BCFBD" w14:textId="50D7F22C" w:rsidR="00362BF2" w:rsidRDefault="00362BF2" w:rsidP="0094528E">
      <w:pPr>
        <w:sectPr w:rsidR="00362BF2" w:rsidSect="00F62F3C">
          <w:endnotePr>
            <w:numFmt w:val="decimal"/>
          </w:endnotePr>
          <w:pgSz w:w="16838" w:h="11906" w:orient="landscape" w:code="9"/>
          <w:pgMar w:top="1701" w:right="851" w:bottom="1418" w:left="851" w:header="709" w:footer="709" w:gutter="0"/>
          <w:cols w:space="708"/>
          <w:docGrid w:linePitch="360"/>
        </w:sectPr>
      </w:pPr>
    </w:p>
    <w:p w14:paraId="1B5DE0B5" w14:textId="576FE8E0" w:rsidR="00824C46" w:rsidRPr="00D71D32" w:rsidRDefault="00C53BFB" w:rsidP="0094528E">
      <w:pPr>
        <w:rPr>
          <w:sz w:val="34"/>
          <w:szCs w:val="34"/>
        </w:rPr>
      </w:pPr>
      <w:r w:rsidRPr="00D71D32">
        <w:rPr>
          <w:sz w:val="34"/>
          <w:szCs w:val="34"/>
        </w:rPr>
        <w:lastRenderedPageBreak/>
        <w:t>END NOTES</w:t>
      </w:r>
    </w:p>
    <w:sectPr w:rsidR="00824C46" w:rsidRPr="00D71D32" w:rsidSect="00F62F3C">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2E3E" w14:textId="77777777" w:rsidR="003862C2" w:rsidRDefault="003862C2" w:rsidP="00E40951">
      <w:pPr>
        <w:spacing w:after="0" w:line="240" w:lineRule="auto"/>
      </w:pPr>
      <w:r>
        <w:separator/>
      </w:r>
    </w:p>
  </w:endnote>
  <w:endnote w:type="continuationSeparator" w:id="0">
    <w:p w14:paraId="4EB10834" w14:textId="77777777" w:rsidR="003862C2" w:rsidRDefault="003862C2" w:rsidP="00E40951">
      <w:pPr>
        <w:spacing w:after="0" w:line="240" w:lineRule="auto"/>
      </w:pPr>
      <w:r>
        <w:continuationSeparator/>
      </w:r>
    </w:p>
  </w:endnote>
  <w:endnote w:id="1">
    <w:p w14:paraId="44124515" w14:textId="0AD117A1"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HOME, 22 January 2019, “Launch of Joint Report ‘Behind Closed Doors: Forced Labour in the Domestic Work Sector’”. </w:t>
      </w:r>
      <w:hyperlink r:id="rId1" w:history="1">
        <w:r w:rsidRPr="00F73E5B">
          <w:rPr>
            <w:rStyle w:val="Hyperlink"/>
            <w:rFonts w:cstheme="minorHAnsi"/>
          </w:rPr>
          <w:t>https://www.home.org.sg/our-updates/2019/1/22/launch-of-joint-report-behind-closed-doors-forced-labour-in-the-domestic-work-sector</w:t>
        </w:r>
      </w:hyperlink>
      <w:r w:rsidRPr="00F73E5B">
        <w:rPr>
          <w:rFonts w:cstheme="minorHAnsi"/>
        </w:rPr>
        <w:t>, accessed 29 Sep 2020.</w:t>
      </w:r>
    </w:p>
    <w:p w14:paraId="12842BAC" w14:textId="77777777" w:rsidR="002C3A20" w:rsidRPr="00F73E5B" w:rsidRDefault="002C3A20">
      <w:pPr>
        <w:pStyle w:val="EndnoteText"/>
        <w:rPr>
          <w:rFonts w:cstheme="minorHAnsi"/>
        </w:rPr>
      </w:pPr>
    </w:p>
  </w:endnote>
  <w:endnote w:id="2">
    <w:p w14:paraId="54DBD17C" w14:textId="204EC40E" w:rsidR="002C3A20" w:rsidRPr="00F73E5B" w:rsidRDefault="002C3A20">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Work Injury Compensation Act 2019, Third Schedule, line 3. </w:t>
      </w:r>
    </w:p>
    <w:p w14:paraId="08C41013" w14:textId="77777777" w:rsidR="002C3A20" w:rsidRPr="00F73E5B" w:rsidRDefault="002C3A20">
      <w:pPr>
        <w:pStyle w:val="EndnoteText"/>
        <w:rPr>
          <w:rFonts w:cstheme="minorHAnsi"/>
          <w:lang w:val="en-SG"/>
        </w:rPr>
      </w:pPr>
    </w:p>
  </w:endnote>
  <w:endnote w:id="3">
    <w:p w14:paraId="011C79BE" w14:textId="01C20E4D"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5 Feb 2017, “Average recruitment cost hit $15,000 in 2015 for first-time Bangladeshi construction workers”. </w:t>
      </w:r>
      <w:hyperlink r:id="rId2" w:history="1">
        <w:r w:rsidRPr="00F73E5B">
          <w:rPr>
            <w:rStyle w:val="Hyperlink"/>
            <w:rFonts w:cstheme="minorHAnsi"/>
          </w:rPr>
          <w:t>http://twc2.org.sg/2017/02/05/average-recruitment-cost-hit-15000-in-2015-for-first-time-bangladeshi-construction-workers/</w:t>
        </w:r>
      </w:hyperlink>
      <w:r w:rsidRPr="00F73E5B">
        <w:rPr>
          <w:rFonts w:cstheme="minorHAnsi"/>
        </w:rPr>
        <w:t>, accessed 30 Sep 2020.</w:t>
      </w:r>
    </w:p>
    <w:p w14:paraId="0CAB454A" w14:textId="77777777" w:rsidR="002C3A20" w:rsidRPr="00F73E5B" w:rsidRDefault="002C3A20">
      <w:pPr>
        <w:pStyle w:val="EndnoteText"/>
        <w:rPr>
          <w:rFonts w:cstheme="minorHAnsi"/>
        </w:rPr>
      </w:pPr>
    </w:p>
  </w:endnote>
  <w:endnote w:id="4">
    <w:p w14:paraId="2B51DF00" w14:textId="7D58F6EA"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27 May 2019, “More of here, less of there: Increase in repeat workers and fat profits for the underground job broker in Singapore”. </w:t>
      </w:r>
      <w:hyperlink r:id="rId3" w:history="1">
        <w:r w:rsidRPr="00F73E5B">
          <w:rPr>
            <w:rStyle w:val="Hyperlink"/>
            <w:rFonts w:cstheme="minorHAnsi"/>
          </w:rPr>
          <w:t>http://twc2.org.sg/2019/05/27/more-of-here-less-of-there-increase-in-repeat-workers-and-fat-profits-for-the-underground-job-broker-in-singapore/</w:t>
        </w:r>
      </w:hyperlink>
      <w:r w:rsidRPr="00F73E5B">
        <w:rPr>
          <w:rFonts w:cstheme="minorHAnsi"/>
        </w:rPr>
        <w:t>, accessed 30 Sep 2020.</w:t>
      </w:r>
    </w:p>
    <w:p w14:paraId="59055BE1" w14:textId="77777777" w:rsidR="002C3A20" w:rsidRPr="00F73E5B" w:rsidRDefault="002C3A20">
      <w:pPr>
        <w:pStyle w:val="EndnoteText"/>
        <w:rPr>
          <w:rFonts w:cstheme="minorHAnsi"/>
        </w:rPr>
      </w:pPr>
    </w:p>
  </w:endnote>
  <w:endnote w:id="5">
    <w:p w14:paraId="25854C67" w14:textId="5F7F15C9"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Ibid</w:t>
      </w:r>
    </w:p>
    <w:p w14:paraId="29739BA9" w14:textId="77777777" w:rsidR="002C3A20" w:rsidRPr="00F73E5B" w:rsidRDefault="002C3A20">
      <w:pPr>
        <w:pStyle w:val="EndnoteText"/>
        <w:rPr>
          <w:rFonts w:cstheme="minorHAnsi"/>
        </w:rPr>
      </w:pPr>
    </w:p>
  </w:endnote>
  <w:endnote w:id="6">
    <w:p w14:paraId="56CE2AD0" w14:textId="1CD17638"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7 Sep 2020, “Where was your illegal recruiter? “In Singapore,” say Kamrul and Majumder”. </w:t>
      </w:r>
      <w:hyperlink r:id="rId4" w:history="1">
        <w:r w:rsidRPr="00F73E5B">
          <w:rPr>
            <w:rStyle w:val="Hyperlink"/>
            <w:rFonts w:cstheme="minorHAnsi"/>
          </w:rPr>
          <w:t>http://twc2.org.sg/2020/09/07/where-was-your-illegal-recruiter-in-singapore-say-kamrul-and-majumder/</w:t>
        </w:r>
      </w:hyperlink>
      <w:r w:rsidRPr="00F73E5B">
        <w:rPr>
          <w:rFonts w:cstheme="minorHAnsi"/>
        </w:rPr>
        <w:t>, accessed 30 Sep 2020.</w:t>
      </w:r>
    </w:p>
    <w:p w14:paraId="2AB102B5" w14:textId="77777777" w:rsidR="002C3A20" w:rsidRPr="00F73E5B" w:rsidRDefault="002C3A20">
      <w:pPr>
        <w:pStyle w:val="EndnoteText"/>
        <w:rPr>
          <w:rFonts w:cstheme="minorHAnsi"/>
        </w:rPr>
      </w:pPr>
    </w:p>
  </w:endnote>
  <w:endnote w:id="7">
    <w:p w14:paraId="6326B453" w14:textId="10F5FF93"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2 Aug 2020, “Kibria and Selim held hostage by Singapore’s underground economy”. </w:t>
      </w:r>
      <w:hyperlink r:id="rId5" w:history="1">
        <w:r w:rsidRPr="00F73E5B">
          <w:rPr>
            <w:rStyle w:val="Hyperlink"/>
            <w:rFonts w:cstheme="minorHAnsi"/>
          </w:rPr>
          <w:t>http://twc2.org.sg/2020/08/02/kibria-and-selim-held-hostage-by-singapores-underground-economy/</w:t>
        </w:r>
      </w:hyperlink>
      <w:r w:rsidRPr="00F73E5B">
        <w:rPr>
          <w:rFonts w:cstheme="minorHAnsi"/>
        </w:rPr>
        <w:t>, accessed 30 Sep 2020.</w:t>
      </w:r>
    </w:p>
    <w:p w14:paraId="485A5722" w14:textId="77777777" w:rsidR="002C3A20" w:rsidRPr="00F73E5B" w:rsidRDefault="002C3A20">
      <w:pPr>
        <w:pStyle w:val="EndnoteText"/>
        <w:rPr>
          <w:rFonts w:cstheme="minorHAnsi"/>
        </w:rPr>
      </w:pPr>
    </w:p>
  </w:endnote>
  <w:endnote w:id="8">
    <w:p w14:paraId="472C802C" w14:textId="1BE2E683"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27 July 2020, “Recruitment reform — what needs to be done”. </w:t>
      </w:r>
      <w:hyperlink r:id="rId6" w:history="1">
        <w:r w:rsidRPr="00F73E5B">
          <w:rPr>
            <w:rStyle w:val="Hyperlink"/>
            <w:rFonts w:cstheme="minorHAnsi"/>
          </w:rPr>
          <w:t>http://twc2.org.sg/2020/07/27/recruitment-reform-what-needs-to-be-done/</w:t>
        </w:r>
      </w:hyperlink>
      <w:r w:rsidRPr="00F73E5B">
        <w:rPr>
          <w:rFonts w:cstheme="minorHAnsi"/>
        </w:rPr>
        <w:t>, accessed 30 Sep 2020.</w:t>
      </w:r>
    </w:p>
    <w:p w14:paraId="53529CB3" w14:textId="77777777" w:rsidR="002C3A20" w:rsidRPr="00F73E5B" w:rsidRDefault="002C3A20">
      <w:pPr>
        <w:pStyle w:val="EndnoteText"/>
        <w:rPr>
          <w:rFonts w:cstheme="minorHAnsi"/>
        </w:rPr>
      </w:pPr>
    </w:p>
  </w:endnote>
  <w:endnote w:id="9">
    <w:p w14:paraId="6D7BA61A" w14:textId="77777777" w:rsidR="002C3A20" w:rsidRPr="00F73E5B" w:rsidRDefault="002C3A20" w:rsidP="00104139">
      <w:pPr>
        <w:pStyle w:val="EndnoteText"/>
        <w:rPr>
          <w:rFonts w:cstheme="minorHAnsi"/>
        </w:rPr>
      </w:pPr>
      <w:r w:rsidRPr="00F73E5B">
        <w:rPr>
          <w:rStyle w:val="EndnoteReference"/>
          <w:rFonts w:cstheme="minorHAnsi"/>
        </w:rPr>
        <w:endnoteRef/>
      </w:r>
      <w:r w:rsidRPr="00F73E5B">
        <w:rPr>
          <w:rFonts w:cstheme="minorHAnsi"/>
        </w:rPr>
        <w:t xml:space="preserve"> HOME, 31 Aug 2020, “Coming Clean: A Study on the Well-being of Bangladeshi Conservancy Workers in Singapore”. </w:t>
      </w:r>
      <w:hyperlink r:id="rId7" w:history="1">
        <w:r w:rsidRPr="00F73E5B">
          <w:rPr>
            <w:rStyle w:val="Hyperlink"/>
            <w:rFonts w:cstheme="minorHAnsi"/>
          </w:rPr>
          <w:t>https://www.home.org.sg/statements/coming-clean</w:t>
        </w:r>
      </w:hyperlink>
      <w:r w:rsidRPr="00F73E5B">
        <w:rPr>
          <w:rFonts w:cstheme="minorHAnsi"/>
        </w:rPr>
        <w:t>, accessed 5 Oct 2020.</w:t>
      </w:r>
    </w:p>
    <w:p w14:paraId="3BA02004" w14:textId="77777777" w:rsidR="002C3A20" w:rsidRPr="00F73E5B" w:rsidRDefault="002C3A20" w:rsidP="00104139">
      <w:pPr>
        <w:pStyle w:val="EndnoteText"/>
        <w:rPr>
          <w:rFonts w:cstheme="minorHAnsi"/>
        </w:rPr>
      </w:pPr>
    </w:p>
  </w:endnote>
  <w:endnote w:id="10">
    <w:p w14:paraId="631FBDAF" w14:textId="22903F11" w:rsidR="002C3A20" w:rsidRPr="00F73E5B" w:rsidRDefault="002C3A20" w:rsidP="00631DA9">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High Court judgement [2017] SGHC 270 Liu </w:t>
      </w:r>
      <w:r w:rsidRPr="00F73E5B">
        <w:rPr>
          <w:rFonts w:cstheme="minorHAnsi"/>
          <w:lang w:val="en-SG"/>
        </w:rPr>
        <w:t xml:space="preserve">Huaixi v Haniffa Pte Ltd. </w:t>
      </w:r>
      <w:hyperlink r:id="rId8" w:history="1">
        <w:r w:rsidRPr="00F73E5B">
          <w:rPr>
            <w:rStyle w:val="Hyperlink"/>
            <w:rFonts w:cstheme="minorHAnsi"/>
            <w:lang w:val="en-SG"/>
          </w:rPr>
          <w:t>https://www.supremecourt.gov.sg/docs/default-source/module-document/judgement/ta15_16-liu-huaixi-v-haniffa-pte-ltd-pdf.pdf</w:t>
        </w:r>
      </w:hyperlink>
      <w:r w:rsidRPr="00F73E5B">
        <w:rPr>
          <w:rFonts w:cstheme="minorHAnsi"/>
          <w:lang w:val="en-SG"/>
        </w:rPr>
        <w:t>, accessed 4 Oct 2020.</w:t>
      </w:r>
    </w:p>
    <w:p w14:paraId="53BCDA62" w14:textId="77777777" w:rsidR="002C3A20" w:rsidRPr="00F73E5B" w:rsidRDefault="002C3A20" w:rsidP="00631DA9">
      <w:pPr>
        <w:pStyle w:val="EndnoteText"/>
        <w:rPr>
          <w:rFonts w:cstheme="minorHAnsi"/>
          <w:lang w:val="en-SG"/>
        </w:rPr>
      </w:pPr>
    </w:p>
  </w:endnote>
  <w:endnote w:id="11">
    <w:p w14:paraId="0F12CC74" w14:textId="5E75AB6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Ronald J </w:t>
      </w:r>
      <w:r w:rsidRPr="00F73E5B">
        <w:rPr>
          <w:rFonts w:cstheme="minorHAnsi"/>
        </w:rPr>
        <w:t xml:space="preserve">J Wong, 10 Nov 2017, Case Update: Liu Huaixi v Haniffa Pte Ltd [2017] SGHC 270 – IPA letter may be evidence of foreign worker’s salary amount. </w:t>
      </w:r>
      <w:hyperlink r:id="rId9" w:history="1">
        <w:r w:rsidRPr="00F73E5B">
          <w:rPr>
            <w:rStyle w:val="Hyperlink"/>
            <w:rFonts w:cstheme="minorHAnsi"/>
          </w:rPr>
          <w:t>http://www.ronaldjjwong.com/2017/11/10/case-update-liu-huaixi-v-haniffa-pte-ltd-2017-sghc-270-ipa-letter-may-evidence-foreign-workers-salary-amount/</w:t>
        </w:r>
      </w:hyperlink>
      <w:r w:rsidRPr="00F73E5B">
        <w:rPr>
          <w:rFonts w:cstheme="minorHAnsi"/>
        </w:rPr>
        <w:t xml:space="preserve"> accessed 4 Oct 2020.</w:t>
      </w:r>
    </w:p>
    <w:p w14:paraId="5F3A325D" w14:textId="77777777" w:rsidR="002C3A20" w:rsidRPr="00F73E5B" w:rsidRDefault="002C3A20" w:rsidP="00631DA9">
      <w:pPr>
        <w:pStyle w:val="EndnoteText"/>
        <w:rPr>
          <w:rFonts w:cstheme="minorHAnsi"/>
          <w:lang w:val="en-SG"/>
        </w:rPr>
      </w:pPr>
    </w:p>
  </w:endnote>
  <w:endnote w:id="12">
    <w:p w14:paraId="56AB0AC7"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TWC2. 24 April 2019, “Rubel started work with Feiteng1x without knowing his salary — how did that happen?” </w:t>
      </w:r>
      <w:hyperlink r:id="rId10" w:history="1">
        <w:r w:rsidRPr="00F73E5B">
          <w:rPr>
            <w:rStyle w:val="Hyperlink"/>
            <w:rFonts w:cstheme="minorHAnsi"/>
          </w:rPr>
          <w:t>http://twc2.org.sg/2019/04/24/rubel-started-work-with-feiteng1x-without-knowing-his-salary-how-did-that-happen/</w:t>
        </w:r>
      </w:hyperlink>
      <w:r w:rsidRPr="00F73E5B">
        <w:rPr>
          <w:rFonts w:cstheme="minorHAnsi"/>
        </w:rPr>
        <w:t>, accessed 3 Oct 2020.</w:t>
      </w:r>
    </w:p>
    <w:p w14:paraId="7AC94AD5" w14:textId="77777777" w:rsidR="002C3A20" w:rsidRPr="00F73E5B" w:rsidRDefault="002C3A20" w:rsidP="00631DA9">
      <w:pPr>
        <w:pStyle w:val="EndnoteText"/>
        <w:rPr>
          <w:rFonts w:cstheme="minorHAnsi"/>
        </w:rPr>
      </w:pPr>
    </w:p>
  </w:endnote>
  <w:endnote w:id="13">
    <w:p w14:paraId="399AEBC0" w14:textId="230F3C06" w:rsidR="00FB3204" w:rsidRDefault="00FB3204">
      <w:pPr>
        <w:pStyle w:val="EndnoteText"/>
      </w:pPr>
      <w:r>
        <w:rPr>
          <w:rStyle w:val="EndnoteReference"/>
        </w:rPr>
        <w:endnoteRef/>
      </w:r>
      <w:r>
        <w:t xml:space="preserve"> TWC2. 12 October 2017, “Fraud committed using ministry letterhead”. </w:t>
      </w:r>
      <w:hyperlink r:id="rId11" w:history="1">
        <w:r w:rsidRPr="000F62AF">
          <w:rPr>
            <w:rStyle w:val="Hyperlink"/>
          </w:rPr>
          <w:t>https://twc2.org.sg/2017/10/12/fraud-committed-using-ministry-letterhead/</w:t>
        </w:r>
      </w:hyperlink>
      <w:r>
        <w:t>, accessed 28 Sept 2020.</w:t>
      </w:r>
    </w:p>
    <w:p w14:paraId="1A7E77DE" w14:textId="77777777" w:rsidR="00FB3204" w:rsidRPr="00FB3204" w:rsidRDefault="00FB3204">
      <w:pPr>
        <w:pStyle w:val="EndnoteText"/>
      </w:pPr>
    </w:p>
  </w:endnote>
  <w:endnote w:id="14">
    <w:p w14:paraId="1748C5B7"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TWC2, 16 Jan 2020, “Swindle, cheat and manipulate, example no. 3”. </w:t>
      </w:r>
      <w:hyperlink r:id="rId12" w:history="1">
        <w:r w:rsidRPr="00F73E5B">
          <w:rPr>
            <w:rStyle w:val="Hyperlink"/>
            <w:rFonts w:cstheme="minorHAnsi"/>
          </w:rPr>
          <w:t>http://twc2.org.sg/2020/01/16/swindle-cheat-and-manipulate-example-no-3/</w:t>
        </w:r>
      </w:hyperlink>
      <w:r w:rsidRPr="00F73E5B">
        <w:rPr>
          <w:rFonts w:cstheme="minorHAnsi"/>
        </w:rPr>
        <w:t>, accessed 3 Oct 2020.</w:t>
      </w:r>
    </w:p>
    <w:p w14:paraId="5DD5CC87" w14:textId="77777777" w:rsidR="002C3A20" w:rsidRPr="00F73E5B" w:rsidRDefault="002C3A20" w:rsidP="00631DA9">
      <w:pPr>
        <w:pStyle w:val="EndnoteText"/>
        <w:rPr>
          <w:rFonts w:cstheme="minorHAnsi"/>
        </w:rPr>
      </w:pPr>
    </w:p>
  </w:endnote>
  <w:endnote w:id="15">
    <w:p w14:paraId="6E144915"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TWC2, 25 June 2017, “The </w:t>
      </w:r>
      <w:r w:rsidRPr="00F73E5B">
        <w:rPr>
          <w:rFonts w:cstheme="minorHAnsi"/>
        </w:rPr>
        <w:t xml:space="preserve">Everglory scam: productivity incentive shot to pieces”. </w:t>
      </w:r>
      <w:hyperlink r:id="rId13" w:history="1">
        <w:r w:rsidRPr="00F73E5B">
          <w:rPr>
            <w:rStyle w:val="Hyperlink"/>
            <w:rFonts w:cstheme="minorHAnsi"/>
          </w:rPr>
          <w:t>http://twc2.org.sg/2017/06/25/the-everglory-scam-productivity-incentive-shot-to-pieces/</w:t>
        </w:r>
      </w:hyperlink>
      <w:r w:rsidRPr="00F73E5B">
        <w:rPr>
          <w:rFonts w:cstheme="minorHAnsi"/>
        </w:rPr>
        <w:t xml:space="preserve"> accessed 3 Oct 2020.</w:t>
      </w:r>
    </w:p>
    <w:p w14:paraId="1B449601" w14:textId="77777777" w:rsidR="002C3A20" w:rsidRPr="00F73E5B" w:rsidRDefault="002C3A20" w:rsidP="00631DA9">
      <w:pPr>
        <w:pStyle w:val="EndnoteText"/>
        <w:rPr>
          <w:rFonts w:cstheme="minorHAnsi"/>
        </w:rPr>
      </w:pPr>
    </w:p>
  </w:endnote>
  <w:endnote w:id="16">
    <w:p w14:paraId="11558E19" w14:textId="0F3D510B" w:rsidR="008E46D1" w:rsidRDefault="008E46D1">
      <w:pPr>
        <w:pStyle w:val="EndnoteText"/>
      </w:pPr>
      <w:r>
        <w:rPr>
          <w:rStyle w:val="EndnoteReference"/>
        </w:rPr>
        <w:endnoteRef/>
      </w:r>
      <w:r>
        <w:t xml:space="preserve"> TWC2. 15 August 2017, “Contract substitution made easier by ministry?”. </w:t>
      </w:r>
      <w:hyperlink r:id="rId14" w:history="1">
        <w:r w:rsidRPr="000F62AF">
          <w:rPr>
            <w:rStyle w:val="Hyperlink"/>
          </w:rPr>
          <w:t>https://twc2.org.sg/2017/08/15/contract-substitution-made-easier-by-ministry/</w:t>
        </w:r>
      </w:hyperlink>
      <w:r>
        <w:t>, accessed 28 Sep 2020.</w:t>
      </w:r>
    </w:p>
    <w:p w14:paraId="3E5AD575" w14:textId="77777777" w:rsidR="008E46D1" w:rsidRPr="008E46D1" w:rsidRDefault="008E46D1">
      <w:pPr>
        <w:pStyle w:val="EndnoteText"/>
      </w:pPr>
    </w:p>
  </w:endnote>
  <w:endnote w:id="17">
    <w:p w14:paraId="313B6314" w14:textId="77777777" w:rsidR="002C3A20" w:rsidRPr="00F73E5B" w:rsidRDefault="002C3A20" w:rsidP="00631DA9">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Human Resources Direction, 11 July 2018, “MOM to ban cutting wages of foreign workers”. </w:t>
      </w:r>
      <w:hyperlink r:id="rId15" w:history="1">
        <w:r w:rsidRPr="00F73E5B">
          <w:rPr>
            <w:rStyle w:val="Hyperlink"/>
            <w:rFonts w:cstheme="minorHAnsi"/>
            <w:lang w:val="en-SG"/>
          </w:rPr>
          <w:t>https://www.hcamag.com/asia/news/general/mom-to-ban-cutting-wages-of-foreign-workers/152790</w:t>
        </w:r>
      </w:hyperlink>
      <w:r w:rsidRPr="00F73E5B">
        <w:rPr>
          <w:rFonts w:cstheme="minorHAnsi"/>
          <w:lang w:val="en-SG"/>
        </w:rPr>
        <w:t>, accessed 3 Oct 2020.</w:t>
      </w:r>
    </w:p>
    <w:p w14:paraId="4E54D161" w14:textId="77777777" w:rsidR="002C3A20" w:rsidRPr="00F73E5B" w:rsidRDefault="002C3A20" w:rsidP="00631DA9">
      <w:pPr>
        <w:pStyle w:val="EndnoteText"/>
        <w:rPr>
          <w:rFonts w:cstheme="minorHAnsi"/>
          <w:lang w:val="en-SG"/>
        </w:rPr>
      </w:pPr>
    </w:p>
  </w:endnote>
  <w:endnote w:id="18">
    <w:p w14:paraId="276772FC"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Employment of Foreign Manpower (Work Passes) Regulations 2012, Fourth Schedule, Part III, paragraphs 4, 4A, 4B, 4C and 4D.</w:t>
      </w:r>
    </w:p>
    <w:p w14:paraId="46B2EEBC" w14:textId="77777777" w:rsidR="002C3A20" w:rsidRPr="00F73E5B" w:rsidRDefault="002C3A20" w:rsidP="00631DA9">
      <w:pPr>
        <w:pStyle w:val="EndnoteText"/>
        <w:rPr>
          <w:rFonts w:cstheme="minorHAnsi"/>
          <w:lang w:val="en-SG"/>
        </w:rPr>
      </w:pPr>
    </w:p>
  </w:endnote>
  <w:endnote w:id="19">
    <w:p w14:paraId="597D7D2F" w14:textId="77777777" w:rsidR="002C3A20" w:rsidRPr="00F73E5B" w:rsidRDefault="002C3A20" w:rsidP="00631DA9">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TWC2, 13 Apr 2020, “Covid-19: Media Statement, 13 April 2020 (longer </w:t>
      </w:r>
      <w:r w:rsidRPr="00F73E5B">
        <w:rPr>
          <w:rFonts w:cstheme="minorHAnsi"/>
          <w:lang w:val="en-SG"/>
        </w:rPr>
        <w:t xml:space="preserve">version)“. </w:t>
      </w:r>
      <w:hyperlink r:id="rId16" w:history="1">
        <w:r w:rsidRPr="00F73E5B">
          <w:rPr>
            <w:rStyle w:val="Hyperlink"/>
            <w:rFonts w:cstheme="minorHAnsi"/>
            <w:lang w:val="en-SG"/>
          </w:rPr>
          <w:t>http://twc2.org.sg/2020/04/13/covid-19-media-statement-13-april-2020-longer-version/</w:t>
        </w:r>
      </w:hyperlink>
      <w:r w:rsidRPr="00F73E5B">
        <w:rPr>
          <w:rFonts w:cstheme="minorHAnsi"/>
          <w:lang w:val="en-SG"/>
        </w:rPr>
        <w:t xml:space="preserve"> accessed 29 Sept 2020.</w:t>
      </w:r>
    </w:p>
    <w:p w14:paraId="3E385A94" w14:textId="77777777" w:rsidR="002C3A20" w:rsidRPr="00F73E5B" w:rsidRDefault="002C3A20" w:rsidP="00631DA9">
      <w:pPr>
        <w:pStyle w:val="EndnoteText"/>
        <w:rPr>
          <w:rFonts w:cstheme="minorHAnsi"/>
          <w:lang w:val="en-SG"/>
        </w:rPr>
      </w:pPr>
    </w:p>
  </w:endnote>
  <w:endnote w:id="20">
    <w:p w14:paraId="12F7A5D4" w14:textId="77777777" w:rsidR="002C3A20" w:rsidRPr="00F73E5B" w:rsidRDefault="002C3A20" w:rsidP="00631DA9">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TWC2, 4 May 2020, “Manpower Ministry’s advisory on circuit breaker still unclear”.  </w:t>
      </w:r>
      <w:hyperlink r:id="rId17" w:history="1">
        <w:r w:rsidRPr="00F73E5B">
          <w:rPr>
            <w:rStyle w:val="Hyperlink"/>
            <w:rFonts w:cstheme="minorHAnsi"/>
            <w:lang w:val="en-SG"/>
          </w:rPr>
          <w:t>http://twc2.org.sg/2020/05/04/manpower-ministrys-advisory-on-circuit-breaker-still-unclear/</w:t>
        </w:r>
      </w:hyperlink>
      <w:r w:rsidRPr="00F73E5B">
        <w:rPr>
          <w:rFonts w:cstheme="minorHAnsi"/>
          <w:lang w:val="en-SG"/>
        </w:rPr>
        <w:t xml:space="preserve"> accessed 29 Sept 2020.</w:t>
      </w:r>
    </w:p>
    <w:p w14:paraId="41A1631F" w14:textId="77777777" w:rsidR="002C3A20" w:rsidRPr="00F73E5B" w:rsidRDefault="002C3A20" w:rsidP="00631DA9">
      <w:pPr>
        <w:pStyle w:val="EndnoteText"/>
        <w:rPr>
          <w:rFonts w:cstheme="minorHAnsi"/>
          <w:lang w:val="en-SG"/>
        </w:rPr>
      </w:pPr>
    </w:p>
  </w:endnote>
  <w:endnote w:id="21">
    <w:p w14:paraId="3810F607" w14:textId="60515094" w:rsidR="002C3A20" w:rsidRPr="00F73E5B" w:rsidRDefault="002C3A20" w:rsidP="00CD3D60">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TWC2, 22 Aug 2020, “Does one minister even know w</w:t>
      </w:r>
      <w:r w:rsidR="00F73E5B" w:rsidRPr="00F73E5B">
        <w:rPr>
          <w:rFonts w:cstheme="minorHAnsi"/>
          <w:lang w:val="en-SG"/>
        </w:rPr>
        <w:t>h</w:t>
      </w:r>
      <w:r w:rsidRPr="00F73E5B">
        <w:rPr>
          <w:rFonts w:cstheme="minorHAnsi"/>
          <w:lang w:val="en-SG"/>
        </w:rPr>
        <w:t xml:space="preserve">at another minister is doing?”. </w:t>
      </w:r>
      <w:hyperlink r:id="rId18" w:history="1">
        <w:r w:rsidRPr="00F73E5B">
          <w:rPr>
            <w:rStyle w:val="Hyperlink"/>
            <w:rFonts w:cstheme="minorHAnsi"/>
            <w:lang w:val="en-SG"/>
          </w:rPr>
          <w:t>http://twc2.org.sg/2020/08/22/does-one-minister-even-know-what-another-minister-is-doing/</w:t>
        </w:r>
      </w:hyperlink>
      <w:r w:rsidRPr="00F73E5B">
        <w:rPr>
          <w:rFonts w:cstheme="minorHAnsi"/>
          <w:lang w:val="en-SG"/>
        </w:rPr>
        <w:t xml:space="preserve"> accessed 29 Sept 2020.</w:t>
      </w:r>
    </w:p>
    <w:p w14:paraId="7DBB4760" w14:textId="77777777" w:rsidR="002C3A20" w:rsidRPr="00F73E5B" w:rsidRDefault="002C3A20" w:rsidP="00CD3D60">
      <w:pPr>
        <w:pStyle w:val="EndnoteText"/>
        <w:rPr>
          <w:rFonts w:cstheme="minorHAnsi"/>
          <w:lang w:val="en-SG"/>
        </w:rPr>
      </w:pPr>
    </w:p>
  </w:endnote>
  <w:endnote w:id="22">
    <w:p w14:paraId="7B4219D3"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TWC2. 17 Sept 2020. “Research finding: Only a handful of workers have had rest days out from dorms”.     </w:t>
      </w:r>
      <w:hyperlink r:id="rId19" w:history="1">
        <w:r w:rsidRPr="00F73E5B">
          <w:rPr>
            <w:rStyle w:val="Hyperlink"/>
            <w:rFonts w:cstheme="minorHAnsi"/>
          </w:rPr>
          <w:t>http://twc2.org.sg/2020/09/17/research-finding-only-a-handful-of-workers-have-had-rest-days-out-from-dorms/</w:t>
        </w:r>
      </w:hyperlink>
      <w:r w:rsidRPr="00F73E5B">
        <w:rPr>
          <w:rFonts w:cstheme="minorHAnsi"/>
        </w:rPr>
        <w:t>, accessed 30 Sep 2020.</w:t>
      </w:r>
    </w:p>
    <w:p w14:paraId="31E59E34" w14:textId="77777777" w:rsidR="002C3A20" w:rsidRPr="00F73E5B" w:rsidRDefault="002C3A20" w:rsidP="00631DA9">
      <w:pPr>
        <w:pStyle w:val="EndnoteText"/>
        <w:rPr>
          <w:rFonts w:cstheme="minorHAnsi"/>
        </w:rPr>
      </w:pPr>
    </w:p>
  </w:endnote>
  <w:endnote w:id="23">
    <w:p w14:paraId="50F2EFC1" w14:textId="77777777" w:rsidR="002C3A20" w:rsidRPr="00F73E5B" w:rsidRDefault="002C3A20" w:rsidP="00631DA9">
      <w:pPr>
        <w:pStyle w:val="EndnoteText"/>
        <w:rPr>
          <w:rFonts w:cstheme="minorHAnsi"/>
        </w:rPr>
      </w:pPr>
      <w:r w:rsidRPr="00F73E5B">
        <w:rPr>
          <w:rStyle w:val="EndnoteReference"/>
          <w:rFonts w:cstheme="minorHAnsi"/>
        </w:rPr>
        <w:endnoteRef/>
      </w:r>
      <w:r w:rsidRPr="00F73E5B">
        <w:rPr>
          <w:rFonts w:cstheme="minorHAnsi"/>
        </w:rPr>
        <w:t xml:space="preserve"> Employment of Foreign Manpower (Work Passes) Regulations 2012, Fourth Schedule, Part III, paragraphs A, 2B and 2C.</w:t>
      </w:r>
    </w:p>
    <w:p w14:paraId="12E4A82A" w14:textId="77777777" w:rsidR="002C3A20" w:rsidRPr="00F73E5B" w:rsidRDefault="002C3A20" w:rsidP="00631DA9">
      <w:pPr>
        <w:pStyle w:val="EndnoteText"/>
        <w:rPr>
          <w:rFonts w:cstheme="minorHAnsi"/>
        </w:rPr>
      </w:pPr>
    </w:p>
  </w:endnote>
  <w:endnote w:id="24">
    <w:p w14:paraId="1A565F3E" w14:textId="2224A01C" w:rsidR="002C3A20" w:rsidRPr="00F73E5B" w:rsidRDefault="002C3A20">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TWC, 24 September 2020, “TADM – friend, stranger or foe?”. </w:t>
      </w:r>
      <w:hyperlink r:id="rId20" w:history="1">
        <w:r w:rsidRPr="00F73E5B">
          <w:rPr>
            <w:rStyle w:val="Hyperlink"/>
            <w:rFonts w:cstheme="minorHAnsi"/>
            <w:lang w:val="en-SG"/>
          </w:rPr>
          <w:t>http://twc2.org.sg/2020/09/24/tadm-friend-stranger-or-foe/</w:t>
        </w:r>
      </w:hyperlink>
      <w:r w:rsidRPr="00F73E5B">
        <w:rPr>
          <w:rFonts w:cstheme="minorHAnsi"/>
          <w:lang w:val="en-SG"/>
        </w:rPr>
        <w:t>, accessed 4 Oct 2020.</w:t>
      </w:r>
    </w:p>
    <w:p w14:paraId="721F19CD" w14:textId="77777777" w:rsidR="002C3A20" w:rsidRPr="00F73E5B" w:rsidRDefault="002C3A20">
      <w:pPr>
        <w:pStyle w:val="EndnoteText"/>
        <w:rPr>
          <w:rFonts w:cstheme="minorHAnsi"/>
          <w:lang w:val="en-SG"/>
        </w:rPr>
      </w:pPr>
    </w:p>
  </w:endnote>
  <w:endnote w:id="25">
    <w:p w14:paraId="680BE1BD" w14:textId="3C15098C"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Employment Claims Act, section 23(1).</w:t>
      </w:r>
    </w:p>
    <w:p w14:paraId="0E1C2671" w14:textId="77777777" w:rsidR="002C3A20" w:rsidRPr="00F73E5B" w:rsidRDefault="002C3A20">
      <w:pPr>
        <w:pStyle w:val="EndnoteText"/>
        <w:rPr>
          <w:rFonts w:cstheme="minorHAnsi"/>
        </w:rPr>
      </w:pPr>
    </w:p>
  </w:endnote>
  <w:endnote w:id="26">
    <w:p w14:paraId="602ADC26" w14:textId="2E086C66"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25 June 2020, “Tribunal makes two errors in </w:t>
      </w:r>
      <w:r w:rsidRPr="00F73E5B">
        <w:rPr>
          <w:rFonts w:cstheme="minorHAnsi"/>
        </w:rPr>
        <w:t xml:space="preserve">Liakat’s salary claim”. </w:t>
      </w:r>
      <w:hyperlink r:id="rId21" w:history="1">
        <w:r w:rsidRPr="00F73E5B">
          <w:rPr>
            <w:rStyle w:val="Hyperlink"/>
            <w:rFonts w:cstheme="minorHAnsi"/>
          </w:rPr>
          <w:t>http://twc2.org.sg/2020/06/25/tribunal-makes-two-errors-in-liakats-salary-claim/</w:t>
        </w:r>
      </w:hyperlink>
      <w:r w:rsidRPr="00F73E5B">
        <w:rPr>
          <w:rFonts w:cstheme="minorHAnsi"/>
        </w:rPr>
        <w:t>, accessed 30 Sep 2020.</w:t>
      </w:r>
    </w:p>
    <w:p w14:paraId="143343C6" w14:textId="77777777" w:rsidR="002C3A20" w:rsidRPr="00F73E5B" w:rsidRDefault="002C3A20">
      <w:pPr>
        <w:pStyle w:val="EndnoteText"/>
        <w:rPr>
          <w:rFonts w:cstheme="minorHAnsi"/>
        </w:rPr>
      </w:pPr>
    </w:p>
  </w:endnote>
  <w:endnote w:id="27">
    <w:p w14:paraId="25E54C69" w14:textId="48298090" w:rsidR="00F73E5B" w:rsidRPr="00F73E5B" w:rsidRDefault="00F73E5B">
      <w:pPr>
        <w:pStyle w:val="EndnoteText"/>
        <w:rPr>
          <w:rFonts w:cstheme="minorHAnsi"/>
        </w:rPr>
      </w:pPr>
      <w:r w:rsidRPr="00F73E5B">
        <w:rPr>
          <w:rStyle w:val="EndnoteReference"/>
          <w:rFonts w:cstheme="minorHAnsi"/>
        </w:rPr>
        <w:endnoteRef/>
      </w:r>
      <w:r w:rsidRPr="00F73E5B">
        <w:rPr>
          <w:rFonts w:cstheme="minorHAnsi"/>
        </w:rPr>
        <w:t xml:space="preserve"> Employment of Foreign Manpower (Work Passes) Regulations 2012, Fourth Schedule, Part III, paragraph 15.</w:t>
      </w:r>
    </w:p>
    <w:p w14:paraId="7B35F6FD" w14:textId="77777777" w:rsidR="00F73E5B" w:rsidRPr="00F73E5B" w:rsidRDefault="00F73E5B">
      <w:pPr>
        <w:pStyle w:val="EndnoteText"/>
        <w:rPr>
          <w:rFonts w:cstheme="minorHAnsi"/>
        </w:rPr>
      </w:pPr>
    </w:p>
  </w:endnote>
  <w:endnote w:id="28">
    <w:p w14:paraId="73CCBD7C" w14:textId="70F99976"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Employment of Foreign Manpower (Work Passes) Regulations 2012, Fourth Schedule, Part III, paragraph 16.</w:t>
      </w:r>
    </w:p>
    <w:p w14:paraId="32812AAC" w14:textId="77777777" w:rsidR="002C3A20" w:rsidRPr="00F73E5B" w:rsidRDefault="002C3A20">
      <w:pPr>
        <w:pStyle w:val="EndnoteText"/>
        <w:rPr>
          <w:rFonts w:cstheme="minorHAnsi"/>
        </w:rPr>
      </w:pPr>
    </w:p>
  </w:endnote>
  <w:endnote w:id="29">
    <w:p w14:paraId="748093FB" w14:textId="50F20D6B" w:rsidR="002C3A20" w:rsidRPr="00F73E5B" w:rsidRDefault="002C3A20" w:rsidP="000069F4">
      <w:pPr>
        <w:pStyle w:val="Heading1"/>
        <w:shd w:val="clear" w:color="auto" w:fill="FFFFFF"/>
        <w:spacing w:before="0" w:after="150"/>
        <w:rPr>
          <w:rFonts w:asciiTheme="minorHAnsi" w:hAnsiTheme="minorHAnsi" w:cstheme="minorHAnsi"/>
          <w:sz w:val="20"/>
          <w:szCs w:val="20"/>
          <w:lang w:val="en-SG"/>
        </w:rPr>
      </w:pPr>
      <w:r w:rsidRPr="00F73E5B">
        <w:rPr>
          <w:rFonts w:asciiTheme="minorHAnsi" w:eastAsiaTheme="minorEastAsia" w:hAnsiTheme="minorHAnsi" w:cstheme="minorHAnsi"/>
          <w:color w:val="auto"/>
          <w:sz w:val="20"/>
          <w:szCs w:val="20"/>
          <w:vertAlign w:val="superscript"/>
          <w:lang w:val="en-SG"/>
        </w:rPr>
        <w:endnoteRef/>
      </w:r>
      <w:r w:rsidRPr="00F73E5B">
        <w:rPr>
          <w:rFonts w:asciiTheme="minorHAnsi" w:eastAsiaTheme="minorEastAsia" w:hAnsiTheme="minorHAnsi" w:cstheme="minorHAnsi"/>
          <w:color w:val="auto"/>
          <w:sz w:val="20"/>
          <w:szCs w:val="20"/>
          <w:lang w:val="en-SG"/>
        </w:rPr>
        <w:t xml:space="preserve"> TWC2, 26 June 2020, “Post-</w:t>
      </w:r>
      <w:r w:rsidRPr="00F73E5B">
        <w:rPr>
          <w:rFonts w:asciiTheme="minorHAnsi" w:eastAsiaTheme="minorEastAsia" w:hAnsiTheme="minorHAnsi" w:cstheme="minorHAnsi"/>
          <w:color w:val="auto"/>
          <w:sz w:val="20"/>
          <w:szCs w:val="20"/>
          <w:lang w:val="en-SG"/>
        </w:rPr>
        <w:t>Covid roadblocks to salary justice”.</w:t>
      </w:r>
      <w:r w:rsidRPr="00F73E5B">
        <w:rPr>
          <w:rFonts w:asciiTheme="minorHAnsi" w:hAnsiTheme="minorHAnsi" w:cstheme="minorHAnsi"/>
          <w:sz w:val="20"/>
          <w:szCs w:val="20"/>
          <w:lang w:val="en-SG"/>
        </w:rPr>
        <w:t xml:space="preserve"> </w:t>
      </w:r>
      <w:hyperlink r:id="rId22" w:history="1">
        <w:r w:rsidRPr="00F73E5B">
          <w:rPr>
            <w:rStyle w:val="Hyperlink"/>
            <w:rFonts w:asciiTheme="minorHAnsi" w:hAnsiTheme="minorHAnsi" w:cstheme="minorHAnsi"/>
            <w:sz w:val="20"/>
            <w:szCs w:val="20"/>
            <w:lang w:val="en-SG"/>
          </w:rPr>
          <w:t>http://twc2.org.sg/2020/06/26/post-covid-roadblocks-to-salary-justice/</w:t>
        </w:r>
      </w:hyperlink>
      <w:r w:rsidRPr="00F73E5B">
        <w:rPr>
          <w:rFonts w:asciiTheme="minorHAnsi" w:hAnsiTheme="minorHAnsi" w:cstheme="minorHAnsi"/>
          <w:sz w:val="20"/>
          <w:szCs w:val="20"/>
          <w:lang w:val="en-SG"/>
        </w:rPr>
        <w:t xml:space="preserve"> </w:t>
      </w:r>
      <w:r w:rsidRPr="00F73E5B">
        <w:rPr>
          <w:rFonts w:asciiTheme="minorHAnsi" w:eastAsiaTheme="minorEastAsia" w:hAnsiTheme="minorHAnsi" w:cstheme="minorHAnsi"/>
          <w:color w:val="auto"/>
          <w:sz w:val="20"/>
          <w:szCs w:val="20"/>
          <w:lang w:val="en-SG"/>
        </w:rPr>
        <w:t>accessed 29 Sept 2020.</w:t>
      </w:r>
    </w:p>
  </w:endnote>
  <w:endnote w:id="30">
    <w:p w14:paraId="5197CD96" w14:textId="7BF0F7FC" w:rsidR="00A55B0F" w:rsidRPr="00F73E5B" w:rsidRDefault="00A55B0F">
      <w:pPr>
        <w:pStyle w:val="EndnoteText"/>
        <w:rPr>
          <w:rFonts w:cstheme="minorHAnsi"/>
        </w:rPr>
      </w:pPr>
      <w:r w:rsidRPr="00F73E5B">
        <w:rPr>
          <w:rStyle w:val="EndnoteReference"/>
          <w:rFonts w:cstheme="minorHAnsi"/>
        </w:rPr>
        <w:endnoteRef/>
      </w:r>
      <w:r w:rsidRPr="00F73E5B">
        <w:rPr>
          <w:rFonts w:cstheme="minorHAnsi"/>
        </w:rPr>
        <w:t xml:space="preserve"> TWC2. 5 October 2020, “Raju told to go home, ‘then my case how?’”. </w:t>
      </w:r>
      <w:hyperlink r:id="rId23" w:history="1">
        <w:r w:rsidRPr="00F73E5B">
          <w:rPr>
            <w:rStyle w:val="Hyperlink"/>
            <w:rFonts w:cstheme="minorHAnsi"/>
          </w:rPr>
          <w:t>https://twc2.org.sg/2020/10/05/raju-told-to-go-home-then-my-case-how/</w:t>
        </w:r>
      </w:hyperlink>
      <w:r w:rsidRPr="00F73E5B">
        <w:rPr>
          <w:rFonts w:cstheme="minorHAnsi"/>
        </w:rPr>
        <w:t>, accessed 11 Oct 2020.</w:t>
      </w:r>
    </w:p>
    <w:p w14:paraId="66666F9D" w14:textId="77777777" w:rsidR="00A55B0F" w:rsidRPr="00F73E5B" w:rsidRDefault="00A55B0F">
      <w:pPr>
        <w:pStyle w:val="EndnoteText"/>
        <w:rPr>
          <w:rFonts w:cstheme="minorHAnsi"/>
        </w:rPr>
      </w:pPr>
    </w:p>
  </w:endnote>
  <w:endnote w:id="31">
    <w:p w14:paraId="30FB2678" w14:textId="62377038"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5 September 2019, “Straits Times Forum: Bosses of foreign workers ignore court orders to pay up”. </w:t>
      </w:r>
      <w:hyperlink r:id="rId24" w:history="1">
        <w:r w:rsidRPr="00F73E5B">
          <w:rPr>
            <w:rStyle w:val="Hyperlink"/>
            <w:rFonts w:cstheme="minorHAnsi"/>
          </w:rPr>
          <w:t>http://twc2.org.sg/2019/09/05/straits-times-forum-bosses-of-foreign-workers-ignore-court-orders-to-pay-up/</w:t>
        </w:r>
      </w:hyperlink>
      <w:r w:rsidRPr="00F73E5B">
        <w:rPr>
          <w:rFonts w:cstheme="minorHAnsi"/>
        </w:rPr>
        <w:t>, accessed 5 Oct 2020.</w:t>
      </w:r>
    </w:p>
    <w:p w14:paraId="03D90E42" w14:textId="77777777" w:rsidR="002C3A20" w:rsidRPr="00F73E5B" w:rsidRDefault="002C3A20">
      <w:pPr>
        <w:pStyle w:val="EndnoteText"/>
        <w:rPr>
          <w:rFonts w:cstheme="minorHAnsi"/>
        </w:rPr>
      </w:pPr>
    </w:p>
  </w:endnote>
  <w:endnote w:id="32">
    <w:p w14:paraId="0E923553" w14:textId="71168D56"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17 June 2018, “When court orders are worthless: the Zach Engineering case”. </w:t>
      </w:r>
      <w:hyperlink r:id="rId25" w:history="1">
        <w:r w:rsidRPr="00F73E5B">
          <w:rPr>
            <w:rStyle w:val="Hyperlink"/>
            <w:rFonts w:cstheme="minorHAnsi"/>
          </w:rPr>
          <w:t>http://twc2.org.sg/2018/06/17/when-court-orders-are-worthless-the-zach-engineering-case/</w:t>
        </w:r>
      </w:hyperlink>
      <w:r w:rsidRPr="00F73E5B">
        <w:rPr>
          <w:rFonts w:cstheme="minorHAnsi"/>
        </w:rPr>
        <w:t>, accessed 5 Oct 2020.</w:t>
      </w:r>
    </w:p>
    <w:p w14:paraId="093912B5" w14:textId="77777777" w:rsidR="002C3A20" w:rsidRPr="00F73E5B" w:rsidRDefault="002C3A20">
      <w:pPr>
        <w:pStyle w:val="EndnoteText"/>
        <w:rPr>
          <w:rFonts w:cstheme="minorHAnsi"/>
        </w:rPr>
      </w:pPr>
    </w:p>
  </w:endnote>
  <w:endnote w:id="33">
    <w:p w14:paraId="4CCB2246" w14:textId="2DEC9E01" w:rsidR="00956193" w:rsidRPr="00F73E5B" w:rsidRDefault="00956193">
      <w:pPr>
        <w:pStyle w:val="EndnoteText"/>
        <w:rPr>
          <w:rFonts w:cstheme="minorHAnsi"/>
        </w:rPr>
      </w:pPr>
      <w:r w:rsidRPr="00F73E5B">
        <w:rPr>
          <w:rStyle w:val="EndnoteReference"/>
          <w:rFonts w:cstheme="minorHAnsi"/>
        </w:rPr>
        <w:endnoteRef/>
      </w:r>
      <w:r w:rsidRPr="00F73E5B">
        <w:rPr>
          <w:rFonts w:cstheme="minorHAnsi"/>
        </w:rPr>
        <w:t xml:space="preserve"> State Courts Annual Report 2019, page 82. </w:t>
      </w:r>
      <w:hyperlink r:id="rId26" w:history="1">
        <w:r w:rsidRPr="00F73E5B">
          <w:rPr>
            <w:rStyle w:val="Hyperlink"/>
            <w:rFonts w:cstheme="minorHAnsi"/>
          </w:rPr>
          <w:t>https://www.statecourts.gov.sg/cws/Resources/Documents/OneJudiciaryAnnualReport2019.pdf</w:t>
        </w:r>
      </w:hyperlink>
      <w:r w:rsidRPr="00F73E5B">
        <w:rPr>
          <w:rFonts w:cstheme="minorHAnsi"/>
        </w:rPr>
        <w:t>, accessed 10 Oct 2020.</w:t>
      </w:r>
    </w:p>
    <w:p w14:paraId="697645E8" w14:textId="77777777" w:rsidR="00956193" w:rsidRPr="00F73E5B" w:rsidRDefault="00956193">
      <w:pPr>
        <w:pStyle w:val="EndnoteText"/>
        <w:rPr>
          <w:rFonts w:cstheme="minorHAnsi"/>
        </w:rPr>
      </w:pPr>
    </w:p>
  </w:endnote>
  <w:endnote w:id="34">
    <w:p w14:paraId="6836510F" w14:textId="23AFE7AF" w:rsidR="00956193" w:rsidRPr="00F73E5B" w:rsidRDefault="00956193">
      <w:pPr>
        <w:pStyle w:val="EndnoteText"/>
        <w:rPr>
          <w:rFonts w:cstheme="minorHAnsi"/>
        </w:rPr>
      </w:pPr>
      <w:r w:rsidRPr="00F73E5B">
        <w:rPr>
          <w:rStyle w:val="EndnoteReference"/>
          <w:rFonts w:cstheme="minorHAnsi"/>
        </w:rPr>
        <w:endnoteRef/>
      </w:r>
      <w:r w:rsidRPr="00F73E5B">
        <w:rPr>
          <w:rFonts w:cstheme="minorHAnsi"/>
        </w:rPr>
        <w:t xml:space="preserve"> Parliamentary reply by the Minister for Manpower Josephine Teo to Member of Parliament Walter </w:t>
      </w:r>
      <w:r w:rsidRPr="00F73E5B">
        <w:rPr>
          <w:rFonts w:cstheme="minorHAnsi"/>
        </w:rPr>
        <w:t>Theseira on 18 Feb 2020, as reported in the Han</w:t>
      </w:r>
      <w:r w:rsidR="003D1566" w:rsidRPr="00F73E5B">
        <w:rPr>
          <w:rFonts w:cstheme="minorHAnsi"/>
        </w:rPr>
        <w:t xml:space="preserve">sard, </w:t>
      </w:r>
      <w:hyperlink r:id="rId27" w:history="1">
        <w:r w:rsidR="003D1566" w:rsidRPr="00F73E5B">
          <w:rPr>
            <w:rStyle w:val="Hyperlink"/>
            <w:rFonts w:cstheme="minorHAnsi"/>
          </w:rPr>
          <w:t>https://sprs.parl.gov.sg/search/sprs3topic?reportid=written-answer-5732</w:t>
        </w:r>
      </w:hyperlink>
      <w:r w:rsidR="003D1566" w:rsidRPr="00F73E5B">
        <w:rPr>
          <w:rFonts w:cstheme="minorHAnsi"/>
        </w:rPr>
        <w:t>, accessed 10 Oct 2020.</w:t>
      </w:r>
    </w:p>
    <w:p w14:paraId="2E57F785" w14:textId="77777777" w:rsidR="003D1566" w:rsidRPr="00F73E5B" w:rsidRDefault="003D1566">
      <w:pPr>
        <w:pStyle w:val="EndnoteText"/>
        <w:rPr>
          <w:rFonts w:cstheme="minorHAnsi"/>
        </w:rPr>
      </w:pPr>
    </w:p>
  </w:endnote>
  <w:endnote w:id="35">
    <w:p w14:paraId="68C4FD7B" w14:textId="665080DB" w:rsidR="003D1566" w:rsidRPr="00F73E5B" w:rsidRDefault="003D1566">
      <w:pPr>
        <w:pStyle w:val="EndnoteText"/>
        <w:rPr>
          <w:rFonts w:cstheme="minorHAnsi"/>
        </w:rPr>
      </w:pPr>
      <w:r w:rsidRPr="00F73E5B">
        <w:rPr>
          <w:rStyle w:val="EndnoteReference"/>
          <w:rFonts w:cstheme="minorHAnsi"/>
        </w:rPr>
        <w:endnoteRef/>
      </w:r>
      <w:r w:rsidRPr="00F73E5B">
        <w:rPr>
          <w:rFonts w:cstheme="minorHAnsi"/>
        </w:rPr>
        <w:t xml:space="preserve"> Ministry of Manpower webpage: “Employers convicted under the Employment Act”. </w:t>
      </w:r>
      <w:hyperlink r:id="rId28" w:anchor="/" w:history="1">
        <w:r w:rsidRPr="00F73E5B">
          <w:rPr>
            <w:rStyle w:val="Hyperlink"/>
            <w:rFonts w:cstheme="minorHAnsi"/>
          </w:rPr>
          <w:t>https://www.mom.gov.sg/employment-practices/employers-convicted-under-employment-act#/</w:t>
        </w:r>
      </w:hyperlink>
      <w:r w:rsidRPr="00F73E5B">
        <w:rPr>
          <w:rFonts w:cstheme="minorHAnsi"/>
        </w:rPr>
        <w:t>, accessed 10 Oct 2020.</w:t>
      </w:r>
    </w:p>
    <w:p w14:paraId="396C51E9" w14:textId="77777777" w:rsidR="003D1566" w:rsidRPr="00F73E5B" w:rsidRDefault="003D1566">
      <w:pPr>
        <w:pStyle w:val="EndnoteText"/>
        <w:rPr>
          <w:rFonts w:cstheme="minorHAnsi"/>
        </w:rPr>
      </w:pPr>
    </w:p>
  </w:endnote>
  <w:endnote w:id="36">
    <w:p w14:paraId="04410C89" w14:textId="3BE57D7F" w:rsidR="00F73E5B" w:rsidRPr="00F73E5B" w:rsidRDefault="00F73E5B">
      <w:pPr>
        <w:pStyle w:val="EndnoteText"/>
        <w:rPr>
          <w:rFonts w:cstheme="minorHAnsi"/>
        </w:rPr>
      </w:pPr>
      <w:r w:rsidRPr="00F73E5B">
        <w:rPr>
          <w:rStyle w:val="EndnoteReference"/>
          <w:rFonts w:cstheme="minorHAnsi"/>
        </w:rPr>
        <w:endnoteRef/>
      </w:r>
      <w:r w:rsidRPr="00F73E5B">
        <w:rPr>
          <w:rFonts w:cstheme="minorHAnsi"/>
        </w:rPr>
        <w:t xml:space="preserve"> TWC2. 10 February 2018, “Victims of unpaid salaries have hard time getting transfer jobs”. </w:t>
      </w:r>
      <w:hyperlink r:id="rId29" w:history="1">
        <w:r w:rsidRPr="00F73E5B">
          <w:rPr>
            <w:rStyle w:val="Hyperlink"/>
            <w:rFonts w:cstheme="minorHAnsi"/>
          </w:rPr>
          <w:t>https://twc2.org.sg/2018/02/10/victims-of-unpaid-salaries-have-hard-time-getting-transfer-jobs/</w:t>
        </w:r>
      </w:hyperlink>
      <w:r w:rsidRPr="00F73E5B">
        <w:rPr>
          <w:rFonts w:cstheme="minorHAnsi"/>
        </w:rPr>
        <w:t>, accessed 1 Oct 2020.</w:t>
      </w:r>
    </w:p>
    <w:p w14:paraId="6E0C449B" w14:textId="77777777" w:rsidR="00F73E5B" w:rsidRPr="00F73E5B" w:rsidRDefault="00F73E5B">
      <w:pPr>
        <w:pStyle w:val="EndnoteText"/>
        <w:rPr>
          <w:rFonts w:cstheme="minorHAnsi"/>
        </w:rPr>
      </w:pPr>
    </w:p>
  </w:endnote>
  <w:endnote w:id="37">
    <w:p w14:paraId="35952395" w14:textId="39362E30" w:rsidR="00A55B0F" w:rsidRPr="00F73E5B" w:rsidRDefault="00A55B0F">
      <w:pPr>
        <w:pStyle w:val="EndnoteText"/>
        <w:rPr>
          <w:rFonts w:cstheme="minorHAnsi"/>
        </w:rPr>
      </w:pPr>
      <w:r w:rsidRPr="00F73E5B">
        <w:rPr>
          <w:rStyle w:val="EndnoteReference"/>
          <w:rFonts w:cstheme="minorHAnsi"/>
        </w:rPr>
        <w:endnoteRef/>
      </w:r>
      <w:r w:rsidRPr="00F73E5B">
        <w:rPr>
          <w:rFonts w:cstheme="minorHAnsi"/>
        </w:rPr>
        <w:t xml:space="preserve"> TWC2. 20 April 2017, “Worker can’t get surgery; everything’s a bureaucratic mess”. </w:t>
      </w:r>
      <w:hyperlink r:id="rId30" w:history="1">
        <w:r w:rsidRPr="00F73E5B">
          <w:rPr>
            <w:rStyle w:val="Hyperlink"/>
            <w:rFonts w:cstheme="minorHAnsi"/>
          </w:rPr>
          <w:t>https://twc2.org.sg/2017/04/20/worker-cant-get-surgery-everythings-a-bureaucratic-mess/</w:t>
        </w:r>
      </w:hyperlink>
      <w:r w:rsidRPr="00F73E5B">
        <w:rPr>
          <w:rFonts w:cstheme="minorHAnsi"/>
        </w:rPr>
        <w:t>, accessed 29 Sep 2020.</w:t>
      </w:r>
    </w:p>
    <w:p w14:paraId="6E96B61C" w14:textId="77777777" w:rsidR="00A55B0F" w:rsidRPr="00F73E5B" w:rsidRDefault="00A55B0F">
      <w:pPr>
        <w:pStyle w:val="EndnoteText"/>
        <w:rPr>
          <w:rFonts w:cstheme="minorHAnsi"/>
        </w:rPr>
      </w:pPr>
    </w:p>
  </w:endnote>
  <w:endnote w:id="38">
    <w:p w14:paraId="1834BA93" w14:textId="566F073B" w:rsidR="00A55B0F" w:rsidRPr="00F73E5B" w:rsidRDefault="00A55B0F">
      <w:pPr>
        <w:pStyle w:val="EndnoteText"/>
        <w:rPr>
          <w:rFonts w:cstheme="minorHAnsi"/>
        </w:rPr>
      </w:pPr>
      <w:r w:rsidRPr="00F73E5B">
        <w:rPr>
          <w:rStyle w:val="EndnoteReference"/>
          <w:rFonts w:cstheme="minorHAnsi"/>
        </w:rPr>
        <w:endnoteRef/>
      </w:r>
      <w:r w:rsidRPr="00F73E5B">
        <w:rPr>
          <w:rFonts w:cstheme="minorHAnsi"/>
        </w:rPr>
        <w:t xml:space="preserve"> TWC2. 11 October 2016, “Reflections: Access to medical care”. </w:t>
      </w:r>
      <w:hyperlink r:id="rId31" w:history="1">
        <w:r w:rsidRPr="00F73E5B">
          <w:rPr>
            <w:rStyle w:val="Hyperlink"/>
            <w:rFonts w:cstheme="minorHAnsi"/>
          </w:rPr>
          <w:t>https://twc2.org.sg/2016/10/11/reflections-access-to-medical-care/</w:t>
        </w:r>
      </w:hyperlink>
      <w:r w:rsidRPr="00F73E5B">
        <w:rPr>
          <w:rFonts w:cstheme="minorHAnsi"/>
        </w:rPr>
        <w:t>, accessed 29 Sep 2020.</w:t>
      </w:r>
    </w:p>
    <w:p w14:paraId="7C754CC1" w14:textId="77777777" w:rsidR="00A55B0F" w:rsidRPr="00F73E5B" w:rsidRDefault="00A55B0F">
      <w:pPr>
        <w:pStyle w:val="EndnoteText"/>
        <w:rPr>
          <w:rFonts w:cstheme="minorHAnsi"/>
        </w:rPr>
      </w:pPr>
    </w:p>
  </w:endnote>
  <w:endnote w:id="39">
    <w:p w14:paraId="30F6C294" w14:textId="132E55E3" w:rsidR="002C3A20" w:rsidRPr="00F73E5B" w:rsidRDefault="002C3A20">
      <w:pPr>
        <w:pStyle w:val="EndnoteText"/>
        <w:rPr>
          <w:rFonts w:cstheme="minorHAnsi"/>
        </w:rPr>
      </w:pPr>
      <w:r w:rsidRPr="00F73E5B">
        <w:rPr>
          <w:rStyle w:val="EndnoteReference"/>
          <w:rFonts w:cstheme="minorHAnsi"/>
        </w:rPr>
        <w:endnoteRef/>
      </w:r>
      <w:r w:rsidRPr="00F73E5B">
        <w:rPr>
          <w:rFonts w:cstheme="minorHAnsi"/>
        </w:rPr>
        <w:t xml:space="preserve"> TWC2. 15 Dec 2018, “In-Principle Approval: uses and abuses 2011 – 2018, part 5”, see final paragraphs. </w:t>
      </w:r>
      <w:hyperlink r:id="rId32" w:history="1">
        <w:r w:rsidRPr="00F73E5B">
          <w:rPr>
            <w:rStyle w:val="Hyperlink"/>
            <w:rFonts w:cstheme="minorHAnsi"/>
          </w:rPr>
          <w:t>http://twc2.org.sg/2018/12/15/in-principle-approval-uses-and-abuses-2011-2018-part-5/</w:t>
        </w:r>
      </w:hyperlink>
      <w:r w:rsidRPr="00F73E5B">
        <w:rPr>
          <w:rFonts w:cstheme="minorHAnsi"/>
        </w:rPr>
        <w:t>, accessed 30 Sep 2020.</w:t>
      </w:r>
    </w:p>
    <w:p w14:paraId="57DF1091" w14:textId="77777777" w:rsidR="002C3A20" w:rsidRPr="00F73E5B" w:rsidRDefault="002C3A20">
      <w:pPr>
        <w:pStyle w:val="EndnoteText"/>
        <w:rPr>
          <w:rFonts w:cstheme="minorHAnsi"/>
        </w:rPr>
      </w:pPr>
    </w:p>
  </w:endnote>
  <w:endnote w:id="40">
    <w:p w14:paraId="491AA450" w14:textId="73A195B7" w:rsidR="002C3A20" w:rsidRPr="00F73E5B" w:rsidRDefault="002C3A20" w:rsidP="00844DEB">
      <w:pPr>
        <w:pStyle w:val="EndnoteText"/>
        <w:rPr>
          <w:rFonts w:cstheme="minorHAnsi"/>
          <w:lang w:val="en-SG"/>
        </w:rPr>
      </w:pPr>
      <w:r w:rsidRPr="00F73E5B">
        <w:rPr>
          <w:rStyle w:val="EndnoteReference"/>
          <w:rFonts w:cstheme="minorHAnsi"/>
        </w:rPr>
        <w:endnoteRef/>
      </w:r>
      <w:r w:rsidRPr="00F73E5B">
        <w:rPr>
          <w:rFonts w:cstheme="minorHAnsi"/>
        </w:rPr>
        <w:t xml:space="preserve"> </w:t>
      </w:r>
      <w:r w:rsidRPr="00F73E5B">
        <w:rPr>
          <w:rFonts w:cstheme="minorHAnsi"/>
          <w:lang w:val="en-SG"/>
        </w:rPr>
        <w:t xml:space="preserve">The Guardian newspaper, 2 Oct 2019, “'Chilling': Singapore's 'fake news’ law comes into effect”. </w:t>
      </w:r>
      <w:hyperlink r:id="rId33" w:history="1">
        <w:r w:rsidRPr="00F73E5B">
          <w:rPr>
            <w:rStyle w:val="Hyperlink"/>
            <w:rFonts w:cstheme="minorHAnsi"/>
            <w:lang w:val="en-SG"/>
          </w:rPr>
          <w:t>https://www.theguardian.com/world/2019/oct/02/chilling-singapores-fake-news-law-comes-into-effect</w:t>
        </w:r>
      </w:hyperlink>
      <w:r w:rsidRPr="00F73E5B">
        <w:rPr>
          <w:rFonts w:cstheme="minorHAnsi"/>
          <w:lang w:val="en-SG"/>
        </w:rPr>
        <w:t>, accessed 30 Sep 2020.</w:t>
      </w:r>
    </w:p>
    <w:p w14:paraId="74328A43" w14:textId="77777777" w:rsidR="002C3A20" w:rsidRPr="00F73E5B" w:rsidRDefault="002C3A20" w:rsidP="00844DEB">
      <w:pPr>
        <w:pStyle w:val="EndnoteText"/>
        <w:rPr>
          <w:rFonts w:cstheme="minorHAnsi"/>
          <w:lang w:val="en-SG"/>
        </w:rPr>
      </w:pPr>
    </w:p>
  </w:endnote>
  <w:endnote w:id="41">
    <w:p w14:paraId="2090BB93" w14:textId="5B77DE60" w:rsidR="002C3A20" w:rsidRDefault="002C3A20">
      <w:pPr>
        <w:pStyle w:val="EndnoteText"/>
        <w:rPr>
          <w:rFonts w:cstheme="minorHAnsi"/>
        </w:rPr>
      </w:pPr>
      <w:r w:rsidRPr="00F73E5B">
        <w:rPr>
          <w:rStyle w:val="EndnoteReference"/>
          <w:rFonts w:cstheme="minorHAnsi"/>
        </w:rPr>
        <w:endnoteRef/>
      </w:r>
      <w:r w:rsidRPr="00F73E5B">
        <w:rPr>
          <w:rFonts w:cstheme="minorHAnsi"/>
        </w:rPr>
        <w:t xml:space="preserve"> Yahoo news, 8 May 2019, “Leon </w:t>
      </w:r>
      <w:r w:rsidRPr="00F73E5B">
        <w:rPr>
          <w:rFonts w:cstheme="minorHAnsi"/>
        </w:rPr>
        <w:t xml:space="preserve">Perera and Walter Theseira fear fake news law could be abused by future government”. </w:t>
      </w:r>
      <w:hyperlink r:id="rId34" w:history="1">
        <w:r w:rsidRPr="00F73E5B">
          <w:rPr>
            <w:rStyle w:val="Hyperlink"/>
            <w:rFonts w:cstheme="minorHAnsi"/>
          </w:rPr>
          <w:t>https://sg.news.yahoo.com/leon-perera-and-walter-theseira-fear-fake-news-law-could-be-abused-by-future-government-131959208.html</w:t>
        </w:r>
      </w:hyperlink>
      <w:r w:rsidRPr="00F73E5B">
        <w:rPr>
          <w:rFonts w:cstheme="minorHAnsi"/>
        </w:rPr>
        <w:t>, accessed 30 Sep 2020.</w:t>
      </w:r>
    </w:p>
    <w:p w14:paraId="209B0290" w14:textId="77777777" w:rsidR="00FB3204" w:rsidRPr="00F73E5B" w:rsidRDefault="00FB3204">
      <w:pPr>
        <w:pStyle w:val="EndnoteText"/>
        <w:rPr>
          <w:rFonts w:cstheme="minorHAnsi"/>
          <w:lang w:val="en-SG"/>
        </w:rPr>
      </w:pPr>
    </w:p>
  </w:endnote>
  <w:endnote w:id="42">
    <w:p w14:paraId="76C3D6BF" w14:textId="1EEF4006" w:rsidR="00F73E5B" w:rsidRPr="00F73E5B" w:rsidRDefault="00F73E5B">
      <w:pPr>
        <w:pStyle w:val="EndnoteText"/>
        <w:rPr>
          <w:lang w:val="en-SG"/>
        </w:rPr>
      </w:pPr>
      <w:r>
        <w:rPr>
          <w:rStyle w:val="EndnoteReference"/>
        </w:rPr>
        <w:endnoteRef/>
      </w:r>
      <w:r>
        <w:t xml:space="preserve"> </w:t>
      </w:r>
      <w:r>
        <w:rPr>
          <w:lang w:val="en-SG"/>
        </w:rPr>
        <w:t xml:space="preserve">The Independent, </w:t>
      </w:r>
      <w:r w:rsidR="00FB3204">
        <w:rPr>
          <w:lang w:val="en-SG"/>
        </w:rPr>
        <w:t>30 April 2019, “</w:t>
      </w:r>
      <w:r w:rsidR="00FB3204" w:rsidRPr="00FB3204">
        <w:rPr>
          <w:lang w:val="en-SG"/>
        </w:rPr>
        <w:t xml:space="preserve">Nearly 30 civil society, arts and community groups express concerns </w:t>
      </w:r>
      <w:r w:rsidR="00FB3204" w:rsidRPr="00FB3204">
        <w:rPr>
          <w:lang w:val="en-SG"/>
        </w:rPr>
        <w:t>over draft fake news law</w:t>
      </w:r>
      <w:r w:rsidR="00FB3204">
        <w:rPr>
          <w:lang w:val="en-SG"/>
        </w:rPr>
        <w:t xml:space="preserve">”. </w:t>
      </w:r>
      <w:hyperlink r:id="rId35" w:history="1">
        <w:r w:rsidR="00FB3204" w:rsidRPr="000F62AF">
          <w:rPr>
            <w:rStyle w:val="Hyperlink"/>
            <w:lang w:val="en-SG"/>
          </w:rPr>
          <w:t>https://theindependent.sg/nearly-30-civil-society-arts-and-community-groups-express-concerns-over-draft-fake-news-law/</w:t>
        </w:r>
      </w:hyperlink>
      <w:r w:rsidR="00FB3204">
        <w:rPr>
          <w:lang w:val="en-SG"/>
        </w:rPr>
        <w:t>, accessed 29 Sep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7794" w14:textId="7C8D94AF" w:rsidR="002C3A20" w:rsidRPr="00F62F3C" w:rsidRDefault="002C3A20">
    <w:pPr>
      <w:pStyle w:val="Footer"/>
      <w:rPr>
        <w:color w:val="808080" w:themeColor="background1" w:themeShade="80"/>
        <w:sz w:val="18"/>
        <w:szCs w:val="18"/>
        <w:lang w:val="en-SG"/>
      </w:rPr>
    </w:pPr>
    <w:r w:rsidRPr="00F62F3C">
      <w:rPr>
        <w:color w:val="808080" w:themeColor="background1" w:themeShade="80"/>
        <w:sz w:val="18"/>
        <w:szCs w:val="18"/>
        <w:lang w:val="en-SG"/>
      </w:rPr>
      <w:t>Joint submission HOME-TWC2 for UPR Singapore 3rd cycle</w:t>
    </w:r>
    <w:r>
      <w:rPr>
        <w:color w:val="808080" w:themeColor="background1" w:themeShade="80"/>
        <w:sz w:val="18"/>
        <w:szCs w:val="18"/>
        <w:lang w:val="en-SG"/>
      </w:rPr>
      <w:tab/>
    </w:r>
    <w:r w:rsidRPr="00F62F3C">
      <w:rPr>
        <w:color w:val="808080" w:themeColor="background1" w:themeShade="80"/>
        <w:sz w:val="18"/>
        <w:szCs w:val="18"/>
        <w:lang w:val="en-SG"/>
      </w:rPr>
      <w:tab/>
      <w:t xml:space="preserve">Page </w:t>
    </w:r>
    <w:r w:rsidRPr="00F62F3C">
      <w:rPr>
        <w:color w:val="808080" w:themeColor="background1" w:themeShade="80"/>
        <w:sz w:val="18"/>
        <w:szCs w:val="18"/>
        <w:lang w:val="en-SG"/>
      </w:rPr>
      <w:fldChar w:fldCharType="begin"/>
    </w:r>
    <w:r w:rsidRPr="00F62F3C">
      <w:rPr>
        <w:color w:val="808080" w:themeColor="background1" w:themeShade="80"/>
        <w:sz w:val="18"/>
        <w:szCs w:val="18"/>
        <w:lang w:val="en-SG"/>
      </w:rPr>
      <w:instrText xml:space="preserve"> PAGE   \* MERGEFORMAT </w:instrText>
    </w:r>
    <w:r w:rsidRPr="00F62F3C">
      <w:rPr>
        <w:color w:val="808080" w:themeColor="background1" w:themeShade="80"/>
        <w:sz w:val="18"/>
        <w:szCs w:val="18"/>
        <w:lang w:val="en-SG"/>
      </w:rPr>
      <w:fldChar w:fldCharType="separate"/>
    </w:r>
    <w:r>
      <w:rPr>
        <w:noProof/>
        <w:color w:val="808080" w:themeColor="background1" w:themeShade="80"/>
        <w:sz w:val="18"/>
        <w:szCs w:val="18"/>
        <w:lang w:val="en-SG"/>
      </w:rPr>
      <w:t>1</w:t>
    </w:r>
    <w:r w:rsidRPr="00F62F3C">
      <w:rPr>
        <w:color w:val="808080" w:themeColor="background1" w:themeShade="80"/>
        <w:sz w:val="18"/>
        <w:szCs w:val="18"/>
        <w:lang w:val="en-SG"/>
      </w:rPr>
      <w:fldChar w:fldCharType="end"/>
    </w:r>
    <w:r w:rsidRPr="00F62F3C">
      <w:rPr>
        <w:color w:val="808080" w:themeColor="background1" w:themeShade="80"/>
        <w:sz w:val="18"/>
        <w:szCs w:val="18"/>
        <w:lang w:val="en-SG"/>
      </w:rPr>
      <w:t xml:space="preserve"> of </w:t>
    </w:r>
    <w:r w:rsidRPr="00F62F3C">
      <w:rPr>
        <w:color w:val="808080" w:themeColor="background1" w:themeShade="80"/>
        <w:sz w:val="18"/>
        <w:szCs w:val="18"/>
        <w:lang w:val="en-SG"/>
      </w:rPr>
      <w:fldChar w:fldCharType="begin"/>
    </w:r>
    <w:r w:rsidRPr="00F62F3C">
      <w:rPr>
        <w:color w:val="808080" w:themeColor="background1" w:themeShade="80"/>
        <w:sz w:val="18"/>
        <w:szCs w:val="18"/>
        <w:lang w:val="en-SG"/>
      </w:rPr>
      <w:instrText xml:space="preserve"> NUMPAGES   \* MERGEFORMAT </w:instrText>
    </w:r>
    <w:r w:rsidRPr="00F62F3C">
      <w:rPr>
        <w:color w:val="808080" w:themeColor="background1" w:themeShade="80"/>
        <w:sz w:val="18"/>
        <w:szCs w:val="18"/>
        <w:lang w:val="en-SG"/>
      </w:rPr>
      <w:fldChar w:fldCharType="separate"/>
    </w:r>
    <w:r>
      <w:rPr>
        <w:noProof/>
        <w:color w:val="808080" w:themeColor="background1" w:themeShade="80"/>
        <w:sz w:val="18"/>
        <w:szCs w:val="18"/>
        <w:lang w:val="en-SG"/>
      </w:rPr>
      <w:t>1</w:t>
    </w:r>
    <w:r w:rsidRPr="00F62F3C">
      <w:rPr>
        <w:color w:val="808080" w:themeColor="background1" w:themeShade="80"/>
        <w:sz w:val="18"/>
        <w:szCs w:val="18"/>
        <w:lang w:val="en-S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45F7" w14:textId="77777777" w:rsidR="003862C2" w:rsidRDefault="003862C2" w:rsidP="00E40951">
      <w:pPr>
        <w:spacing w:after="0" w:line="240" w:lineRule="auto"/>
      </w:pPr>
      <w:r>
        <w:separator/>
      </w:r>
    </w:p>
  </w:footnote>
  <w:footnote w:type="continuationSeparator" w:id="0">
    <w:p w14:paraId="77A4C554" w14:textId="77777777" w:rsidR="003862C2" w:rsidRDefault="003862C2" w:rsidP="00E4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75113"/>
    <w:multiLevelType w:val="multilevel"/>
    <w:tmpl w:val="345295E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907"/>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8B"/>
    <w:rsid w:val="000069F4"/>
    <w:rsid w:val="00014205"/>
    <w:rsid w:val="00016588"/>
    <w:rsid w:val="0002243B"/>
    <w:rsid w:val="00042B2F"/>
    <w:rsid w:val="00065574"/>
    <w:rsid w:val="000A2414"/>
    <w:rsid w:val="000C1635"/>
    <w:rsid w:val="00104139"/>
    <w:rsid w:val="00105E9D"/>
    <w:rsid w:val="001211C0"/>
    <w:rsid w:val="00127412"/>
    <w:rsid w:val="00147665"/>
    <w:rsid w:val="001B1479"/>
    <w:rsid w:val="001C127E"/>
    <w:rsid w:val="001C41FA"/>
    <w:rsid w:val="001C7439"/>
    <w:rsid w:val="001C75EA"/>
    <w:rsid w:val="001D4B05"/>
    <w:rsid w:val="00200E08"/>
    <w:rsid w:val="00210B92"/>
    <w:rsid w:val="002161B9"/>
    <w:rsid w:val="002202AA"/>
    <w:rsid w:val="00227134"/>
    <w:rsid w:val="00234F3D"/>
    <w:rsid w:val="00242F55"/>
    <w:rsid w:val="0025617B"/>
    <w:rsid w:val="00257A52"/>
    <w:rsid w:val="0027418A"/>
    <w:rsid w:val="00281A19"/>
    <w:rsid w:val="002C3A20"/>
    <w:rsid w:val="002C4A27"/>
    <w:rsid w:val="002F594D"/>
    <w:rsid w:val="002F703D"/>
    <w:rsid w:val="003150FC"/>
    <w:rsid w:val="00317752"/>
    <w:rsid w:val="00362BF2"/>
    <w:rsid w:val="003862C2"/>
    <w:rsid w:val="003879C1"/>
    <w:rsid w:val="003C0F32"/>
    <w:rsid w:val="003D084A"/>
    <w:rsid w:val="003D1566"/>
    <w:rsid w:val="003D7FAA"/>
    <w:rsid w:val="00413676"/>
    <w:rsid w:val="0042007D"/>
    <w:rsid w:val="00435249"/>
    <w:rsid w:val="00455F83"/>
    <w:rsid w:val="00474F4F"/>
    <w:rsid w:val="004B5DB5"/>
    <w:rsid w:val="004D1886"/>
    <w:rsid w:val="00515A90"/>
    <w:rsid w:val="00570681"/>
    <w:rsid w:val="0059559B"/>
    <w:rsid w:val="0059641F"/>
    <w:rsid w:val="00596B4B"/>
    <w:rsid w:val="005A4180"/>
    <w:rsid w:val="005D6B7A"/>
    <w:rsid w:val="005E67E8"/>
    <w:rsid w:val="005F2EAD"/>
    <w:rsid w:val="00604262"/>
    <w:rsid w:val="00631DA9"/>
    <w:rsid w:val="006639BE"/>
    <w:rsid w:val="00671BD6"/>
    <w:rsid w:val="0072209A"/>
    <w:rsid w:val="00735F8F"/>
    <w:rsid w:val="007B098E"/>
    <w:rsid w:val="007E079C"/>
    <w:rsid w:val="00804A2D"/>
    <w:rsid w:val="00823E58"/>
    <w:rsid w:val="00824C46"/>
    <w:rsid w:val="008278DF"/>
    <w:rsid w:val="00830934"/>
    <w:rsid w:val="00830FAE"/>
    <w:rsid w:val="00844DEB"/>
    <w:rsid w:val="0086092A"/>
    <w:rsid w:val="00861363"/>
    <w:rsid w:val="008D4125"/>
    <w:rsid w:val="008E46D1"/>
    <w:rsid w:val="00907B0B"/>
    <w:rsid w:val="00937D10"/>
    <w:rsid w:val="0094528E"/>
    <w:rsid w:val="00946399"/>
    <w:rsid w:val="009505D2"/>
    <w:rsid w:val="00951FFA"/>
    <w:rsid w:val="00954B21"/>
    <w:rsid w:val="00956193"/>
    <w:rsid w:val="009859ED"/>
    <w:rsid w:val="009A7E21"/>
    <w:rsid w:val="009C0864"/>
    <w:rsid w:val="00A0107D"/>
    <w:rsid w:val="00A14793"/>
    <w:rsid w:val="00A37BCD"/>
    <w:rsid w:val="00A55B0F"/>
    <w:rsid w:val="00A95568"/>
    <w:rsid w:val="00AB0B88"/>
    <w:rsid w:val="00AB3D1E"/>
    <w:rsid w:val="00AD0FFC"/>
    <w:rsid w:val="00AF10E6"/>
    <w:rsid w:val="00AF3A8E"/>
    <w:rsid w:val="00B40A5D"/>
    <w:rsid w:val="00B65698"/>
    <w:rsid w:val="00B83B5A"/>
    <w:rsid w:val="00BB4DBF"/>
    <w:rsid w:val="00BF28DB"/>
    <w:rsid w:val="00C05BF7"/>
    <w:rsid w:val="00C20CBE"/>
    <w:rsid w:val="00C257FE"/>
    <w:rsid w:val="00C5028B"/>
    <w:rsid w:val="00C504C2"/>
    <w:rsid w:val="00C53BFB"/>
    <w:rsid w:val="00C62D0D"/>
    <w:rsid w:val="00C6652D"/>
    <w:rsid w:val="00C741D6"/>
    <w:rsid w:val="00C92785"/>
    <w:rsid w:val="00CA75E5"/>
    <w:rsid w:val="00CA7ECF"/>
    <w:rsid w:val="00CD3D60"/>
    <w:rsid w:val="00D03B19"/>
    <w:rsid w:val="00D23858"/>
    <w:rsid w:val="00D42640"/>
    <w:rsid w:val="00D51459"/>
    <w:rsid w:val="00D53769"/>
    <w:rsid w:val="00D55273"/>
    <w:rsid w:val="00D606A9"/>
    <w:rsid w:val="00D71D32"/>
    <w:rsid w:val="00D957B6"/>
    <w:rsid w:val="00DA7322"/>
    <w:rsid w:val="00DB2EFD"/>
    <w:rsid w:val="00DC4AED"/>
    <w:rsid w:val="00E15CEC"/>
    <w:rsid w:val="00E40951"/>
    <w:rsid w:val="00E5583D"/>
    <w:rsid w:val="00E62A26"/>
    <w:rsid w:val="00E64BF9"/>
    <w:rsid w:val="00EA5232"/>
    <w:rsid w:val="00EC1747"/>
    <w:rsid w:val="00F03FA4"/>
    <w:rsid w:val="00F37720"/>
    <w:rsid w:val="00F506A3"/>
    <w:rsid w:val="00F62F3C"/>
    <w:rsid w:val="00F66F0D"/>
    <w:rsid w:val="00F7060B"/>
    <w:rsid w:val="00F73E5B"/>
    <w:rsid w:val="00F84CA6"/>
    <w:rsid w:val="00FB3204"/>
    <w:rsid w:val="00FC7A6A"/>
    <w:rsid w:val="00FE5C6F"/>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B706F"/>
  <w15:chartTrackingRefBased/>
  <w15:docId w15:val="{E4D59548-7218-4366-BE94-A0AF064B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409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951"/>
    <w:rPr>
      <w:sz w:val="20"/>
      <w:szCs w:val="20"/>
    </w:rPr>
  </w:style>
  <w:style w:type="character" w:styleId="EndnoteReference">
    <w:name w:val="endnote reference"/>
    <w:basedOn w:val="DefaultParagraphFont"/>
    <w:uiPriority w:val="99"/>
    <w:semiHidden/>
    <w:unhideWhenUsed/>
    <w:rsid w:val="00E40951"/>
    <w:rPr>
      <w:vertAlign w:val="superscript"/>
    </w:rPr>
  </w:style>
  <w:style w:type="character" w:customStyle="1" w:styleId="Heading1Char">
    <w:name w:val="Heading 1 Char"/>
    <w:basedOn w:val="DefaultParagraphFont"/>
    <w:link w:val="Heading1"/>
    <w:uiPriority w:val="9"/>
    <w:rsid w:val="00E409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40951"/>
    <w:rPr>
      <w:color w:val="0563C1" w:themeColor="hyperlink"/>
      <w:u w:val="single"/>
    </w:rPr>
  </w:style>
  <w:style w:type="character" w:customStyle="1" w:styleId="UnresolvedMention1">
    <w:name w:val="Unresolved Mention1"/>
    <w:basedOn w:val="DefaultParagraphFont"/>
    <w:uiPriority w:val="99"/>
    <w:semiHidden/>
    <w:unhideWhenUsed/>
    <w:rsid w:val="00E40951"/>
    <w:rPr>
      <w:color w:val="605E5C"/>
      <w:shd w:val="clear" w:color="auto" w:fill="E1DFDD"/>
    </w:rPr>
  </w:style>
  <w:style w:type="paragraph" w:styleId="NormalWeb">
    <w:name w:val="Normal (Web)"/>
    <w:basedOn w:val="Normal"/>
    <w:uiPriority w:val="99"/>
    <w:semiHidden/>
    <w:unhideWhenUsed/>
    <w:rsid w:val="0072209A"/>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FollowedHyperlink">
    <w:name w:val="FollowedHyperlink"/>
    <w:basedOn w:val="DefaultParagraphFont"/>
    <w:uiPriority w:val="99"/>
    <w:semiHidden/>
    <w:unhideWhenUsed/>
    <w:rsid w:val="003150FC"/>
    <w:rPr>
      <w:color w:val="954F72" w:themeColor="followedHyperlink"/>
      <w:u w:val="single"/>
    </w:rPr>
  </w:style>
  <w:style w:type="table" w:styleId="TableGrid">
    <w:name w:val="Table Grid"/>
    <w:basedOn w:val="TableNormal"/>
    <w:uiPriority w:val="39"/>
    <w:rsid w:val="0090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3C"/>
  </w:style>
  <w:style w:type="paragraph" w:styleId="Footer">
    <w:name w:val="footer"/>
    <w:basedOn w:val="Normal"/>
    <w:link w:val="FooterChar"/>
    <w:uiPriority w:val="99"/>
    <w:unhideWhenUsed/>
    <w:rsid w:val="00F6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3C"/>
  </w:style>
  <w:style w:type="paragraph" w:styleId="BalloonText">
    <w:name w:val="Balloon Text"/>
    <w:basedOn w:val="Normal"/>
    <w:link w:val="BalloonTextChar"/>
    <w:uiPriority w:val="99"/>
    <w:semiHidden/>
    <w:unhideWhenUsed/>
    <w:rsid w:val="0022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34"/>
    <w:rPr>
      <w:rFonts w:ascii="Segoe UI" w:hAnsi="Segoe UI" w:cs="Segoe UI"/>
      <w:sz w:val="18"/>
      <w:szCs w:val="18"/>
    </w:rPr>
  </w:style>
  <w:style w:type="character" w:styleId="UnresolvedMention">
    <w:name w:val="Unresolved Mention"/>
    <w:basedOn w:val="DefaultParagraphFont"/>
    <w:uiPriority w:val="99"/>
    <w:semiHidden/>
    <w:unhideWhenUsed/>
    <w:rsid w:val="00956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48619">
      <w:bodyDiv w:val="1"/>
      <w:marLeft w:val="0"/>
      <w:marRight w:val="0"/>
      <w:marTop w:val="0"/>
      <w:marBottom w:val="0"/>
      <w:divBdr>
        <w:top w:val="none" w:sz="0" w:space="0" w:color="auto"/>
        <w:left w:val="none" w:sz="0" w:space="0" w:color="auto"/>
        <w:bottom w:val="none" w:sz="0" w:space="0" w:color="auto"/>
        <w:right w:val="none" w:sz="0" w:space="0" w:color="auto"/>
      </w:divBdr>
      <w:divsChild>
        <w:div w:id="151064628">
          <w:marLeft w:val="0"/>
          <w:marRight w:val="0"/>
          <w:marTop w:val="0"/>
          <w:marBottom w:val="0"/>
          <w:divBdr>
            <w:top w:val="none" w:sz="0" w:space="0" w:color="auto"/>
            <w:left w:val="none" w:sz="0" w:space="0" w:color="auto"/>
            <w:bottom w:val="none" w:sz="0" w:space="0" w:color="auto"/>
            <w:right w:val="none" w:sz="0" w:space="0" w:color="auto"/>
          </w:divBdr>
        </w:div>
        <w:div w:id="385033817">
          <w:marLeft w:val="0"/>
          <w:marRight w:val="0"/>
          <w:marTop w:val="0"/>
          <w:marBottom w:val="0"/>
          <w:divBdr>
            <w:top w:val="none" w:sz="0" w:space="0" w:color="auto"/>
            <w:left w:val="none" w:sz="0" w:space="0" w:color="auto"/>
            <w:bottom w:val="none" w:sz="0" w:space="0" w:color="auto"/>
            <w:right w:val="none" w:sz="0" w:space="0" w:color="auto"/>
          </w:divBdr>
        </w:div>
      </w:divsChild>
    </w:div>
    <w:div w:id="1539707242">
      <w:bodyDiv w:val="1"/>
      <w:marLeft w:val="0"/>
      <w:marRight w:val="0"/>
      <w:marTop w:val="0"/>
      <w:marBottom w:val="0"/>
      <w:divBdr>
        <w:top w:val="none" w:sz="0" w:space="0" w:color="auto"/>
        <w:left w:val="none" w:sz="0" w:space="0" w:color="auto"/>
        <w:bottom w:val="none" w:sz="0" w:space="0" w:color="auto"/>
        <w:right w:val="none" w:sz="0" w:space="0" w:color="auto"/>
      </w:divBdr>
      <w:divsChild>
        <w:div w:id="2095319408">
          <w:marLeft w:val="0"/>
          <w:marRight w:val="0"/>
          <w:marTop w:val="0"/>
          <w:marBottom w:val="0"/>
          <w:divBdr>
            <w:top w:val="none" w:sz="0" w:space="0" w:color="auto"/>
            <w:left w:val="none" w:sz="0" w:space="0" w:color="auto"/>
            <w:bottom w:val="none" w:sz="0" w:space="0" w:color="auto"/>
            <w:right w:val="none" w:sz="0" w:space="0" w:color="auto"/>
          </w:divBdr>
          <w:divsChild>
            <w:div w:id="1274365371">
              <w:marLeft w:val="0"/>
              <w:marRight w:val="0"/>
              <w:marTop w:val="0"/>
              <w:marBottom w:val="0"/>
              <w:divBdr>
                <w:top w:val="none" w:sz="0" w:space="0" w:color="auto"/>
                <w:left w:val="none" w:sz="0" w:space="0" w:color="auto"/>
                <w:bottom w:val="none" w:sz="0" w:space="0" w:color="auto"/>
                <w:right w:val="none" w:sz="0" w:space="0" w:color="auto"/>
              </w:divBdr>
            </w:div>
            <w:div w:id="865677554">
              <w:marLeft w:val="0"/>
              <w:marRight w:val="0"/>
              <w:marTop w:val="0"/>
              <w:marBottom w:val="0"/>
              <w:divBdr>
                <w:top w:val="none" w:sz="0" w:space="0" w:color="auto"/>
                <w:left w:val="none" w:sz="0" w:space="0" w:color="auto"/>
                <w:bottom w:val="none" w:sz="0" w:space="0" w:color="auto"/>
                <w:right w:val="none" w:sz="0" w:space="0" w:color="auto"/>
              </w:divBdr>
            </w:div>
            <w:div w:id="1181967559">
              <w:marLeft w:val="0"/>
              <w:marRight w:val="0"/>
              <w:marTop w:val="0"/>
              <w:marBottom w:val="0"/>
              <w:divBdr>
                <w:top w:val="none" w:sz="0" w:space="0" w:color="auto"/>
                <w:left w:val="none" w:sz="0" w:space="0" w:color="auto"/>
                <w:bottom w:val="none" w:sz="0" w:space="0" w:color="auto"/>
                <w:right w:val="none" w:sz="0" w:space="0" w:color="auto"/>
              </w:divBdr>
            </w:div>
            <w:div w:id="11575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6876">
      <w:bodyDiv w:val="1"/>
      <w:marLeft w:val="0"/>
      <w:marRight w:val="0"/>
      <w:marTop w:val="0"/>
      <w:marBottom w:val="0"/>
      <w:divBdr>
        <w:top w:val="none" w:sz="0" w:space="0" w:color="auto"/>
        <w:left w:val="none" w:sz="0" w:space="0" w:color="auto"/>
        <w:bottom w:val="none" w:sz="0" w:space="0" w:color="auto"/>
        <w:right w:val="none" w:sz="0" w:space="0" w:color="auto"/>
      </w:divBdr>
    </w:div>
    <w:div w:id="1847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c2.org.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wc2.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me.org.s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upremecourt.gov.sg/docs/default-source/module-document/judgement/ta15_16-liu-huaixi-v-haniffa-pte-ltd-pdf.pdf" TargetMode="External"/><Relationship Id="rId13" Type="http://schemas.openxmlformats.org/officeDocument/2006/relationships/hyperlink" Target="http://twc2.org.sg/2017/06/25/the-everglory-scam-productivity-incentive-shot-to-pieces/" TargetMode="External"/><Relationship Id="rId18" Type="http://schemas.openxmlformats.org/officeDocument/2006/relationships/hyperlink" Target="http://twc2.org.sg/2020/08/22/does-one-minister-even-know-what-another-minister-is-doing/%20" TargetMode="External"/><Relationship Id="rId26" Type="http://schemas.openxmlformats.org/officeDocument/2006/relationships/hyperlink" Target="https://www.statecourts.gov.sg/cws/Resources/Documents/OneJudiciaryAnnualReport2019.pdf" TargetMode="External"/><Relationship Id="rId3" Type="http://schemas.openxmlformats.org/officeDocument/2006/relationships/hyperlink" Target="http://twc2.org.sg/2019/05/27/more-of-here-less-of-there-increase-in-repeat-workers-and-fat-profits-for-the-underground-job-broker-in-singapore/" TargetMode="External"/><Relationship Id="rId21" Type="http://schemas.openxmlformats.org/officeDocument/2006/relationships/hyperlink" Target="http://twc2.org.sg/2020/06/25/tribunal-makes-two-errors-in-liakats-salary-claim/" TargetMode="External"/><Relationship Id="rId34" Type="http://schemas.openxmlformats.org/officeDocument/2006/relationships/hyperlink" Target="https://sg.news.yahoo.com/leon-perera-and-walter-theseira-fear-fake-news-law-could-be-abused-by-future-government-131959208.html" TargetMode="External"/><Relationship Id="rId7" Type="http://schemas.openxmlformats.org/officeDocument/2006/relationships/hyperlink" Target="https://www.home.org.sg/statements/coming-clean" TargetMode="External"/><Relationship Id="rId12" Type="http://schemas.openxmlformats.org/officeDocument/2006/relationships/hyperlink" Target="http://twc2.org.sg/2020/01/16/swindle-cheat-and-manipulate-example-no-3/" TargetMode="External"/><Relationship Id="rId17" Type="http://schemas.openxmlformats.org/officeDocument/2006/relationships/hyperlink" Target="http://twc2.org.sg/2020/05/04/manpower-ministrys-advisory-on-circuit-breaker-still-unclear/" TargetMode="External"/><Relationship Id="rId25" Type="http://schemas.openxmlformats.org/officeDocument/2006/relationships/hyperlink" Target="http://twc2.org.sg/2018/06/17/when-court-orders-are-worthless-the-zach-engineering-case/" TargetMode="External"/><Relationship Id="rId33" Type="http://schemas.openxmlformats.org/officeDocument/2006/relationships/hyperlink" Target="https://www.theguardian.com/world/2019/oct/02/chilling-singapores-fake-news-law-comes-into-effect" TargetMode="External"/><Relationship Id="rId2" Type="http://schemas.openxmlformats.org/officeDocument/2006/relationships/hyperlink" Target="http://twc2.org.sg/2017/02/05/average-recruitment-cost-hit-15000-in-2015-for-first-time-bangladeshi-construction-workers/" TargetMode="External"/><Relationship Id="rId16" Type="http://schemas.openxmlformats.org/officeDocument/2006/relationships/hyperlink" Target="http://twc2.org.sg/2020/04/13/covid-19-media-statement-13-april-2020-longer-version/" TargetMode="External"/><Relationship Id="rId20" Type="http://schemas.openxmlformats.org/officeDocument/2006/relationships/hyperlink" Target="http://twc2.org.sg/2020/09/24/tadm-friend-stranger-or-foe/" TargetMode="External"/><Relationship Id="rId29" Type="http://schemas.openxmlformats.org/officeDocument/2006/relationships/hyperlink" Target="https://twc2.org.sg/2018/02/10/victims-of-unpaid-salaries-have-hard-time-getting-transfer-jobs/" TargetMode="External"/><Relationship Id="rId1" Type="http://schemas.openxmlformats.org/officeDocument/2006/relationships/hyperlink" Target="https://www.home.org.sg/our-updates/2019/1/22/launch-of-joint-report-behind-closed-doors-forced-labour-in-the-domestic-work-sector" TargetMode="External"/><Relationship Id="rId6" Type="http://schemas.openxmlformats.org/officeDocument/2006/relationships/hyperlink" Target="http://twc2.org.sg/2020/07/27/recruitment-reform-what-needs-to-be-done/" TargetMode="External"/><Relationship Id="rId11" Type="http://schemas.openxmlformats.org/officeDocument/2006/relationships/hyperlink" Target="https://twc2.org.sg/2017/10/12/fraud-committed-using-ministry-letterhead/" TargetMode="External"/><Relationship Id="rId24" Type="http://schemas.openxmlformats.org/officeDocument/2006/relationships/hyperlink" Target="http://twc2.org.sg/2019/09/05/straits-times-forum-bosses-of-foreign-workers-ignore-court-orders-to-pay-up/" TargetMode="External"/><Relationship Id="rId32" Type="http://schemas.openxmlformats.org/officeDocument/2006/relationships/hyperlink" Target="http://twc2.org.sg/2018/12/15/in-principle-approval-uses-and-abuses-2011-2018-part-5/" TargetMode="External"/><Relationship Id="rId5" Type="http://schemas.openxmlformats.org/officeDocument/2006/relationships/hyperlink" Target="http://twc2.org.sg/2020/08/02/kibria-and-selim-held-hostage-by-singapores-underground-economy/" TargetMode="External"/><Relationship Id="rId15" Type="http://schemas.openxmlformats.org/officeDocument/2006/relationships/hyperlink" Target="https://www.hcamag.com/asia/news/general/mom-to-ban-cutting-wages-of-foreign-workers/152790" TargetMode="External"/><Relationship Id="rId23" Type="http://schemas.openxmlformats.org/officeDocument/2006/relationships/hyperlink" Target="https://twc2.org.sg/2020/10/05/raju-told-to-go-home-then-my-case-how/" TargetMode="External"/><Relationship Id="rId28" Type="http://schemas.openxmlformats.org/officeDocument/2006/relationships/hyperlink" Target="https://www.mom.gov.sg/employment-practices/employers-convicted-under-employment-act" TargetMode="External"/><Relationship Id="rId10" Type="http://schemas.openxmlformats.org/officeDocument/2006/relationships/hyperlink" Target="http://twc2.org.sg/2019/04/24/rubel-started-work-with-feiteng1x-without-knowing-his-salary-how-did-that-happen/" TargetMode="External"/><Relationship Id="rId19" Type="http://schemas.openxmlformats.org/officeDocument/2006/relationships/hyperlink" Target="http://twc2.org.sg/2020/09/17/research-finding-only-a-handful-of-workers-have-had-rest-days-out-from-dorms/" TargetMode="External"/><Relationship Id="rId31" Type="http://schemas.openxmlformats.org/officeDocument/2006/relationships/hyperlink" Target="https://twc2.org.sg/2016/10/11/reflections-access-to-medical-care/" TargetMode="External"/><Relationship Id="rId4" Type="http://schemas.openxmlformats.org/officeDocument/2006/relationships/hyperlink" Target="http://twc2.org.sg/2020/09/07/where-was-your-illegal-recruiter-in-singapore-say-kamrul-and-majumder/" TargetMode="External"/><Relationship Id="rId9" Type="http://schemas.openxmlformats.org/officeDocument/2006/relationships/hyperlink" Target="http://www.ronaldjjwong.com/2017/11/10/case-update-liu-huaixi-v-haniffa-pte-ltd-2017-sghc-270-ipa-letter-may-evidence-foreign-workers-salary-amount/" TargetMode="External"/><Relationship Id="rId14" Type="http://schemas.openxmlformats.org/officeDocument/2006/relationships/hyperlink" Target="https://twc2.org.sg/2017/08/15/contract-substitution-made-easier-by-ministry/" TargetMode="External"/><Relationship Id="rId22" Type="http://schemas.openxmlformats.org/officeDocument/2006/relationships/hyperlink" Target="http://twc2.org.sg/2020/06/26/post-covid-roadblocks-to-salary-justice/" TargetMode="External"/><Relationship Id="rId27" Type="http://schemas.openxmlformats.org/officeDocument/2006/relationships/hyperlink" Target="https://sprs.parl.gov.sg/search/sprs3topic?reportid=written-answer-5732" TargetMode="External"/><Relationship Id="rId30" Type="http://schemas.openxmlformats.org/officeDocument/2006/relationships/hyperlink" Target="https://twc2.org.sg/2017/04/20/worker-cant-get-surgery-everythings-a-bureaucratic-mess/" TargetMode="External"/><Relationship Id="rId35" Type="http://schemas.openxmlformats.org/officeDocument/2006/relationships/hyperlink" Target="https://theindependent.sg/nearly-30-civil-society-arts-and-community-groups-express-concerns-over-draft-fake-new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D2F4-DDA2-4063-974F-A7C4166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Au</dc:creator>
  <cp:keywords/>
  <dc:description/>
  <cp:lastModifiedBy>Alex Au</cp:lastModifiedBy>
  <cp:revision>7</cp:revision>
  <cp:lastPrinted>2020-10-08T07:46:00Z</cp:lastPrinted>
  <dcterms:created xsi:type="dcterms:W3CDTF">2020-10-09T10:09:00Z</dcterms:created>
  <dcterms:modified xsi:type="dcterms:W3CDTF">2020-10-11T14:43:00Z</dcterms:modified>
</cp:coreProperties>
</file>